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859E4" w14:textId="77777777" w:rsidR="00B93A44" w:rsidRPr="00B93A44" w:rsidRDefault="00B93A44" w:rsidP="00B93A44">
      <w:pPr>
        <w:widowControl/>
        <w:shd w:val="clear" w:color="auto" w:fill="FFFFFF"/>
        <w:spacing w:after="210"/>
        <w:jc w:val="left"/>
        <w:outlineLvl w:val="1"/>
        <w:rPr>
          <w:rFonts w:ascii="宋体" w:eastAsia="宋体" w:hAnsi="宋体" w:cs="宋体"/>
          <w:color w:val="333333"/>
          <w:spacing w:val="8"/>
          <w:kern w:val="0"/>
          <w:sz w:val="44"/>
          <w:szCs w:val="44"/>
        </w:rPr>
      </w:pPr>
      <w:r w:rsidRPr="00B93A44">
        <w:rPr>
          <w:rFonts w:ascii="宋体" w:eastAsia="宋体" w:hAnsi="宋体" w:cs="宋体" w:hint="eastAsia"/>
          <w:color w:val="333333"/>
          <w:spacing w:val="8"/>
          <w:kern w:val="0"/>
          <w:sz w:val="44"/>
          <w:szCs w:val="44"/>
        </w:rPr>
        <w:t>【石油观察家】</w:t>
      </w:r>
      <w:bookmarkStart w:id="0" w:name="_GoBack"/>
      <w:r w:rsidRPr="00B93A44">
        <w:rPr>
          <w:rFonts w:ascii="宋体" w:eastAsia="宋体" w:hAnsi="宋体" w:cs="宋体" w:hint="eastAsia"/>
          <w:color w:val="333333"/>
          <w:spacing w:val="8"/>
          <w:kern w:val="0"/>
          <w:sz w:val="44"/>
          <w:szCs w:val="44"/>
        </w:rPr>
        <w:t>欧洲天然气储气库概况与运营模式</w:t>
      </w:r>
    </w:p>
    <w:bookmarkEnd w:id="0"/>
    <w:p w14:paraId="3281538D" w14:textId="77777777" w:rsidR="00B93A44" w:rsidRPr="00B93A44" w:rsidRDefault="00B93A44" w:rsidP="00B93A44">
      <w:pPr>
        <w:pStyle w:val="a3"/>
        <w:shd w:val="clear" w:color="auto" w:fill="FFFFFF"/>
        <w:spacing w:before="0" w:beforeAutospacing="0" w:after="0" w:afterAutospacing="0" w:line="420" w:lineRule="atLeast"/>
        <w:jc w:val="both"/>
        <w:rPr>
          <w:color w:val="333333"/>
          <w:spacing w:val="8"/>
        </w:rPr>
      </w:pPr>
      <w:r w:rsidRPr="00B93A44">
        <w:rPr>
          <w:rStyle w:val="a4"/>
          <w:rFonts w:hint="eastAsia"/>
          <w:color w:val="333333"/>
          <w:spacing w:val="8"/>
        </w:rPr>
        <w:t>文|周军</w:t>
      </w:r>
      <w:r w:rsidRPr="00B93A44">
        <w:rPr>
          <w:rStyle w:val="a4"/>
          <w:rFonts w:hint="eastAsia"/>
          <w:color w:val="333333"/>
          <w:spacing w:val="8"/>
          <w:vertAlign w:val="superscript"/>
        </w:rPr>
        <w:t>1</w:t>
      </w:r>
      <w:r w:rsidRPr="00B93A44">
        <w:rPr>
          <w:rStyle w:val="a4"/>
          <w:rFonts w:hint="eastAsia"/>
          <w:color w:val="333333"/>
          <w:spacing w:val="8"/>
        </w:rPr>
        <w:t>，梁光川</w:t>
      </w:r>
      <w:r w:rsidRPr="00B93A44">
        <w:rPr>
          <w:rStyle w:val="a4"/>
          <w:rFonts w:hint="eastAsia"/>
          <w:color w:val="333333"/>
          <w:spacing w:val="8"/>
          <w:vertAlign w:val="superscript"/>
        </w:rPr>
        <w:t>1</w:t>
      </w:r>
      <w:r w:rsidRPr="00B93A44">
        <w:rPr>
          <w:rStyle w:val="a4"/>
          <w:rFonts w:hint="eastAsia"/>
          <w:color w:val="333333"/>
          <w:spacing w:val="8"/>
        </w:rPr>
        <w:t>，杜培恩</w:t>
      </w:r>
      <w:r w:rsidRPr="00B93A44">
        <w:rPr>
          <w:rStyle w:val="a4"/>
          <w:rFonts w:hint="eastAsia"/>
          <w:color w:val="333333"/>
          <w:spacing w:val="8"/>
          <w:vertAlign w:val="superscript"/>
        </w:rPr>
        <w:t>2</w:t>
      </w:r>
      <w:r w:rsidRPr="00B93A44">
        <w:rPr>
          <w:rStyle w:val="a4"/>
          <w:rFonts w:hint="eastAsia"/>
          <w:color w:val="333333"/>
          <w:spacing w:val="8"/>
        </w:rPr>
        <w:t>，李欣泽</w:t>
      </w:r>
      <w:r w:rsidRPr="00B93A44">
        <w:rPr>
          <w:rStyle w:val="a4"/>
          <w:rFonts w:hint="eastAsia"/>
          <w:color w:val="333333"/>
          <w:spacing w:val="8"/>
          <w:vertAlign w:val="superscript"/>
        </w:rPr>
        <w:t>2</w:t>
      </w:r>
      <w:r w:rsidRPr="00B93A44">
        <w:rPr>
          <w:rStyle w:val="a4"/>
          <w:rFonts w:hint="eastAsia"/>
          <w:color w:val="333333"/>
          <w:spacing w:val="8"/>
        </w:rPr>
        <w:t>，黄靖雅</w:t>
      </w:r>
      <w:r w:rsidRPr="00B93A44">
        <w:rPr>
          <w:rStyle w:val="a4"/>
          <w:rFonts w:hint="eastAsia"/>
          <w:color w:val="333333"/>
          <w:spacing w:val="8"/>
          <w:vertAlign w:val="superscript"/>
        </w:rPr>
        <w:t>1</w:t>
      </w:r>
      <w:r w:rsidRPr="00B93A44">
        <w:rPr>
          <w:rStyle w:val="a4"/>
          <w:rFonts w:hint="eastAsia"/>
          <w:color w:val="333333"/>
          <w:spacing w:val="8"/>
        </w:rPr>
        <w:t>，方琰藜</w:t>
      </w:r>
      <w:r w:rsidRPr="00B93A44">
        <w:rPr>
          <w:rStyle w:val="a4"/>
          <w:rFonts w:hint="eastAsia"/>
          <w:color w:val="333333"/>
          <w:spacing w:val="8"/>
          <w:vertAlign w:val="superscript"/>
        </w:rPr>
        <w:t>1</w:t>
      </w:r>
    </w:p>
    <w:p w14:paraId="266F1926"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1. 西南石油大学；2. 中石化石油工程设计有限公司</w:t>
      </w:r>
    </w:p>
    <w:p w14:paraId="0F2480E1"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Fonts w:hint="eastAsia"/>
          <w:color w:val="333333"/>
          <w:spacing w:val="8"/>
        </w:rPr>
        <w:t> </w:t>
      </w:r>
    </w:p>
    <w:p w14:paraId="0670E274"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5"/>
          <w:rFonts w:hint="eastAsia"/>
          <w:b/>
          <w:bCs/>
          <w:color w:val="C00000"/>
          <w:spacing w:val="8"/>
        </w:rPr>
        <w:t>摘要：</w:t>
      </w:r>
      <w:r w:rsidRPr="00B93A44">
        <w:rPr>
          <w:rStyle w:val="a5"/>
          <w:rFonts w:hint="eastAsia"/>
          <w:color w:val="C00000"/>
          <w:spacing w:val="8"/>
        </w:rPr>
        <w:t>地下储气库是天然气调峰的重要手段和国家能源供应的安全保障，中国储气库处于初级发展阶段，随着中国储气库的大量建设和投产，存在储气库运营体系未建立、管理流程及原则待完善等问题，导致调峰保供能力不足。系统论述了欧洲储气库现状、储气库运营体系、运营流程、管理规定与原则。借鉴欧洲储气库运营管理经验，总结得出：①欧盟2016 年工作气量较2010 年增加13倍，中国储气库调峰需求和建设规模也在不断增大，急需借鉴欧盟运营管理方法构建中国储气库运营管理模式；②制定多种储气容量产品及从快速波动储存到季节性储存的大范围储气服务，优化客户储气容量组合，达到灵活利用储气容量的目的；③欧洲储气库的回购、退订及二级市场机制有利于平衡客户间储气容量，从指派限制、使用容量、容量超限、中断与限制客户容量、注采再分配等方面制定详细规定，逐步形成全国统一的标准化操作运行流程；④中国储气库运营商应搭建储气库容量交易平台，随储气库规模的增加，建立单条管道多储气库联运平台，逐步形成多管道多储气库的全国性运行系统，联调联运，优化管网系统运行，实现管道储气库的大系统优化调峰。（图12，表4）</w:t>
      </w:r>
    </w:p>
    <w:p w14:paraId="33AC1DC9"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Fonts w:hint="eastAsia"/>
          <w:color w:val="333333"/>
          <w:spacing w:val="8"/>
        </w:rPr>
        <w:t> </w:t>
      </w:r>
    </w:p>
    <w:p w14:paraId="6CFF70D9"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地下储气库调峰应急储备是天然气供应链中的重要组成部分，从加拿大建成第一座地下储气库至今，世界储气库的建设与运营已有百年历史。20 世纪70 年代中国大庆油田开展了利用枯竭气藏建设地下储气库的尝试，20 世纪90 年代初大张坨地下储气库的建设揭开调峰型地下储气库建设的序幕，2000年中国第1座商业地下储气库投入运行。目前中国已建成的地下储气库有喇嘛甸北块、大张坨、板876、板中北、板808、板828、金坛、京58 储气库、文96、苏桥（一期）等20座，设计总库容达到452×10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，设计总工作气量为151×10</w:t>
      </w:r>
      <w:r w:rsidRPr="00B93A44">
        <w:rPr>
          <w:rFonts w:hint="eastAsia"/>
          <w:color w:val="333333"/>
          <w:spacing w:val="8"/>
          <w:vertAlign w:val="superscript"/>
        </w:rPr>
        <w:t>8</w:t>
      </w:r>
      <w:r w:rsidRPr="00B93A44">
        <w:rPr>
          <w:rFonts w:hint="eastAsia"/>
          <w:color w:val="333333"/>
          <w:spacing w:val="8"/>
        </w:rPr>
        <w:t>m</w:t>
      </w:r>
      <w:r w:rsidRPr="00B93A44">
        <w:rPr>
          <w:rFonts w:hint="eastAsia"/>
          <w:color w:val="333333"/>
          <w:spacing w:val="8"/>
          <w:vertAlign w:val="superscript"/>
        </w:rPr>
        <w:t>3</w:t>
      </w:r>
      <w:r w:rsidRPr="00B93A44">
        <w:rPr>
          <w:rFonts w:hint="eastAsia"/>
          <w:color w:val="333333"/>
          <w:spacing w:val="8"/>
        </w:rPr>
        <w:t>。美国储气库工作气量占年消费量的17.4％，欧洲各国已建成投产大量储气库，多数国家储气设施的储备能力占年消费气量的15％以上，德国达到25％，远高于中国2.38％的水平。欧洲储气库</w:t>
      </w:r>
      <w:r w:rsidRPr="00B93A44">
        <w:rPr>
          <w:rFonts w:hint="eastAsia"/>
          <w:color w:val="333333"/>
          <w:spacing w:val="8"/>
        </w:rPr>
        <w:lastRenderedPageBreak/>
        <w:t>运营已有数十年经验，以国内储气库工作气量达到世界平均水平（11％）测算，到2020 年国内储气库工作气量需求为385×10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随着中国储气库的投产运行，有必要了解欧洲储气库系统信息和管理运营模式。田静等从监管政策、运营模式及定价机制的宏观角度概述了美国、欧洲、俄罗斯的储气库管理模式。褚庆福等从管理权限划分、许可证颁发及运营服务3 方面介绍了美国、加拿大及俄罗斯的地下储气库管理体制。徐博等介绍了美国现代地下储气库市场化运营模式的基本特征。以下从欧洲储气库概况和储气库参与方角度，详细论述目前欧洲储气库的产品、客户注采曲线、运营体系以及储气容量的管理原则。</w:t>
      </w:r>
    </w:p>
    <w:p w14:paraId="1E9923F4"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p>
    <w:p w14:paraId="74050980"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1　储气库概况</w:t>
      </w:r>
    </w:p>
    <w:p w14:paraId="004A66BE"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1.1　工作气量</w:t>
      </w:r>
    </w:p>
    <w:p w14:paraId="41544896"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欧洲2015 年储气库总工作气量1460×10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，在建工作气量16×10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（表1）。其中，欧盟国家储气库总工作气量1080×10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，在建工作气量15×10</w:t>
      </w:r>
      <w:r w:rsidRPr="00B93A44">
        <w:rPr>
          <w:rFonts w:hint="eastAsia"/>
          <w:color w:val="333333"/>
          <w:spacing w:val="8"/>
          <w:vertAlign w:val="superscript"/>
        </w:rPr>
        <w:t>8 </w:t>
      </w:r>
      <w:r w:rsidRPr="00B93A44">
        <w:rPr>
          <w:rFonts w:hint="eastAsia"/>
          <w:color w:val="333333"/>
          <w:spacing w:val="8"/>
        </w:rPr>
        <w:t>m</w:t>
      </w:r>
      <w:r w:rsidRPr="00B93A44">
        <w:rPr>
          <w:rFonts w:hint="eastAsia"/>
          <w:color w:val="333333"/>
          <w:spacing w:val="8"/>
          <w:vertAlign w:val="superscript"/>
        </w:rPr>
        <w:t>3</w:t>
      </w:r>
      <w:r w:rsidRPr="00B93A44">
        <w:rPr>
          <w:rFonts w:hint="eastAsia"/>
          <w:color w:val="333333"/>
          <w:spacing w:val="8"/>
        </w:rPr>
        <w:t>，2025 年工作气量将达到1160×10</w:t>
      </w:r>
      <w:r w:rsidRPr="00B93A44">
        <w:rPr>
          <w:rFonts w:hint="eastAsia"/>
          <w:color w:val="333333"/>
          <w:spacing w:val="8"/>
          <w:vertAlign w:val="superscript"/>
        </w:rPr>
        <w:t>8</w:t>
      </w:r>
      <w:r w:rsidRPr="00B93A44">
        <w:rPr>
          <w:rFonts w:hint="eastAsia"/>
          <w:color w:val="333333"/>
          <w:spacing w:val="8"/>
        </w:rPr>
        <w:t>m</w:t>
      </w:r>
      <w:r w:rsidRPr="00B93A44">
        <w:rPr>
          <w:rFonts w:hint="eastAsia"/>
          <w:color w:val="333333"/>
          <w:spacing w:val="8"/>
          <w:vertAlign w:val="superscript"/>
        </w:rPr>
        <w:t>3</w:t>
      </w:r>
      <w:r w:rsidRPr="00B93A44">
        <w:rPr>
          <w:rFonts w:hint="eastAsia"/>
          <w:color w:val="333333"/>
          <w:spacing w:val="8"/>
        </w:rPr>
        <w:t>。2015 年德国拥有欧盟最大工作气量245.7×10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。乌克兰是欧洲最大储气国，工作气量达到319.5×10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。此外，意大利、荷兰、法国及奥地利工作气量大于80×10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。英国规划储气量达到124.6×10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w:t>
      </w:r>
    </w:p>
    <w:p w14:paraId="512B47FE" w14:textId="7B2D760D" w:rsidR="000940E8" w:rsidRPr="00B93A44" w:rsidRDefault="00B93A44">
      <w:pPr>
        <w:rPr>
          <w:rFonts w:ascii="宋体" w:eastAsia="宋体" w:hAnsi="宋体"/>
          <w:sz w:val="24"/>
          <w:szCs w:val="24"/>
        </w:rPr>
      </w:pPr>
      <w:r w:rsidRPr="00B93A44">
        <w:rPr>
          <w:rFonts w:ascii="宋体" w:eastAsia="宋体" w:hAnsi="宋体"/>
          <w:noProof/>
          <w:sz w:val="24"/>
          <w:szCs w:val="24"/>
        </w:rPr>
        <w:lastRenderedPageBreak/>
        <w:drawing>
          <wp:inline distT="0" distB="0" distL="0" distR="0" wp14:anchorId="223F6032" wp14:editId="2661C169">
            <wp:extent cx="5274310" cy="44157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4415790"/>
                    </a:xfrm>
                    <a:prstGeom prst="rect">
                      <a:avLst/>
                    </a:prstGeom>
                  </pic:spPr>
                </pic:pic>
              </a:graphicData>
            </a:graphic>
          </wp:inline>
        </w:drawing>
      </w:r>
    </w:p>
    <w:p w14:paraId="1A16BF18" w14:textId="10C32A85" w:rsidR="00B93A44" w:rsidRPr="00B93A44" w:rsidRDefault="00B93A44">
      <w:pPr>
        <w:rPr>
          <w:rFonts w:ascii="宋体" w:eastAsia="宋体" w:hAnsi="宋体"/>
          <w:color w:val="333333"/>
          <w:spacing w:val="8"/>
          <w:sz w:val="24"/>
          <w:szCs w:val="24"/>
          <w:shd w:val="clear" w:color="auto" w:fill="FFFFFF"/>
        </w:rPr>
      </w:pPr>
      <w:r w:rsidRPr="00B93A44">
        <w:rPr>
          <w:rFonts w:ascii="宋体" w:eastAsia="宋体" w:hAnsi="宋体" w:hint="eastAsia"/>
          <w:color w:val="333333"/>
          <w:spacing w:val="8"/>
          <w:sz w:val="24"/>
          <w:szCs w:val="24"/>
          <w:shd w:val="clear" w:color="auto" w:fill="FFFFFF"/>
        </w:rPr>
        <w:t>储气库类型包括枯竭油气藏、盐穴、含水层等。分别统计了欧洲、欧盟这3 种储气库的运行、建设、规划工作气量（图1）。</w:t>
      </w:r>
    </w:p>
    <w:p w14:paraId="2A42DD0D" w14:textId="2C65F6A6" w:rsidR="00B93A44" w:rsidRPr="00B93A44" w:rsidRDefault="00B93A44">
      <w:pPr>
        <w:rPr>
          <w:rFonts w:ascii="宋体" w:eastAsia="宋体" w:hAnsi="宋体"/>
          <w:sz w:val="24"/>
          <w:szCs w:val="24"/>
        </w:rPr>
      </w:pPr>
      <w:r w:rsidRPr="00B93A44">
        <w:rPr>
          <w:rFonts w:ascii="宋体" w:eastAsia="宋体" w:hAnsi="宋体"/>
          <w:noProof/>
          <w:sz w:val="24"/>
          <w:szCs w:val="24"/>
        </w:rPr>
        <w:lastRenderedPageBreak/>
        <w:drawing>
          <wp:inline distT="0" distB="0" distL="0" distR="0" wp14:anchorId="2256D333" wp14:editId="5E2F98AF">
            <wp:extent cx="5274310" cy="69672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6967220"/>
                    </a:xfrm>
                    <a:prstGeom prst="rect">
                      <a:avLst/>
                    </a:prstGeom>
                  </pic:spPr>
                </pic:pic>
              </a:graphicData>
            </a:graphic>
          </wp:inline>
        </w:drawing>
      </w:r>
      <w:r w:rsidRPr="00B93A44">
        <w:rPr>
          <w:rFonts w:ascii="宋体" w:eastAsia="宋体" w:hAnsi="宋体"/>
          <w:noProof/>
          <w:sz w:val="24"/>
          <w:szCs w:val="24"/>
        </w:rPr>
        <w:lastRenderedPageBreak/>
        <w:drawing>
          <wp:inline distT="0" distB="0" distL="0" distR="0" wp14:anchorId="3403F6EE" wp14:editId="4FF2B065">
            <wp:extent cx="5274310" cy="35591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559175"/>
                    </a:xfrm>
                    <a:prstGeom prst="rect">
                      <a:avLst/>
                    </a:prstGeom>
                  </pic:spPr>
                </pic:pic>
              </a:graphicData>
            </a:graphic>
          </wp:inline>
        </w:drawing>
      </w:r>
    </w:p>
    <w:p w14:paraId="5EB3FD9E" w14:textId="64368D8A" w:rsidR="00B93A44" w:rsidRPr="00B93A44" w:rsidRDefault="00B93A44">
      <w:pPr>
        <w:rPr>
          <w:rFonts w:ascii="宋体" w:eastAsia="宋体" w:hAnsi="宋体"/>
          <w:color w:val="333333"/>
          <w:spacing w:val="8"/>
          <w:sz w:val="24"/>
          <w:szCs w:val="24"/>
          <w:shd w:val="clear" w:color="auto" w:fill="FFFFFF"/>
        </w:rPr>
      </w:pPr>
      <w:r w:rsidRPr="00B93A44">
        <w:rPr>
          <w:rFonts w:ascii="宋体" w:eastAsia="宋体" w:hAnsi="宋体" w:hint="eastAsia"/>
          <w:color w:val="333333"/>
          <w:spacing w:val="8"/>
          <w:sz w:val="24"/>
          <w:szCs w:val="24"/>
          <w:shd w:val="clear" w:color="auto" w:fill="FFFFFF"/>
        </w:rPr>
        <w:t>2010 年欧盟储气库工作气量为82×10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 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，2011年增至553×10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 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，之后每年增加100×10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 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，截至2016 年9 月8 日，工作气量为1075×10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 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。由欧盟2010－2016 年工作气量和储气量变化曲线（图2）可知，储气量随季节性需求周期性变化，年最大储气量随工作气量的增加而增加。储存比（储气量与工作气量比值）也随季节周期性变化（图3），每年4 月份最小，11 月份最大，2010－2016 年欧盟储气库最小储存比25.32％，最大储存比98.22％。其中，德国作为欧盟最大储气国，2010 年工作气量58.6×10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，2016 年工作气量增加4 倍，达到244.2×10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 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，储存比最大值、最小值分别为99.17％、18.35％。</w:t>
      </w:r>
    </w:p>
    <w:p w14:paraId="1BE0C818" w14:textId="6630E7DB" w:rsidR="00B93A44" w:rsidRPr="00B93A44" w:rsidRDefault="00B93A44">
      <w:pPr>
        <w:rPr>
          <w:rFonts w:ascii="宋体" w:eastAsia="宋体" w:hAnsi="宋体"/>
          <w:sz w:val="24"/>
          <w:szCs w:val="24"/>
        </w:rPr>
      </w:pPr>
      <w:r w:rsidRPr="00B93A44">
        <w:rPr>
          <w:rFonts w:ascii="宋体" w:eastAsia="宋体" w:hAnsi="宋体"/>
          <w:noProof/>
          <w:sz w:val="24"/>
          <w:szCs w:val="24"/>
        </w:rPr>
        <w:drawing>
          <wp:inline distT="0" distB="0" distL="0" distR="0" wp14:anchorId="5949F9C4" wp14:editId="00CA266E">
            <wp:extent cx="5274310" cy="21170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117090"/>
                    </a:xfrm>
                    <a:prstGeom prst="rect">
                      <a:avLst/>
                    </a:prstGeom>
                  </pic:spPr>
                </pic:pic>
              </a:graphicData>
            </a:graphic>
          </wp:inline>
        </w:drawing>
      </w:r>
    </w:p>
    <w:p w14:paraId="7D3BA89A" w14:textId="0E9D443A" w:rsidR="00B93A44" w:rsidRPr="00B93A44" w:rsidRDefault="00B93A44">
      <w:pPr>
        <w:rPr>
          <w:rFonts w:ascii="宋体" w:eastAsia="宋体" w:hAnsi="宋体"/>
          <w:sz w:val="24"/>
          <w:szCs w:val="24"/>
        </w:rPr>
      </w:pPr>
      <w:r w:rsidRPr="00B93A44">
        <w:rPr>
          <w:rFonts w:ascii="宋体" w:eastAsia="宋体" w:hAnsi="宋体"/>
          <w:noProof/>
          <w:sz w:val="24"/>
          <w:szCs w:val="24"/>
        </w:rPr>
        <w:lastRenderedPageBreak/>
        <w:drawing>
          <wp:inline distT="0" distB="0" distL="0" distR="0" wp14:anchorId="150206A8" wp14:editId="50274C0C">
            <wp:extent cx="5274310" cy="37566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756660"/>
                    </a:xfrm>
                    <a:prstGeom prst="rect">
                      <a:avLst/>
                    </a:prstGeom>
                  </pic:spPr>
                </pic:pic>
              </a:graphicData>
            </a:graphic>
          </wp:inline>
        </w:drawing>
      </w:r>
    </w:p>
    <w:p w14:paraId="6B8E7C29" w14:textId="77777777" w:rsidR="00B93A44" w:rsidRPr="00B93A44" w:rsidRDefault="00B93A44" w:rsidP="00B93A44">
      <w:pPr>
        <w:pStyle w:val="a3"/>
        <w:shd w:val="clear" w:color="auto" w:fill="FFFFFF"/>
        <w:spacing w:before="0" w:beforeAutospacing="0" w:after="0" w:afterAutospacing="0" w:line="420" w:lineRule="atLeast"/>
        <w:jc w:val="both"/>
        <w:rPr>
          <w:color w:val="333333"/>
          <w:spacing w:val="8"/>
        </w:rPr>
      </w:pPr>
      <w:r w:rsidRPr="00B93A44">
        <w:rPr>
          <w:rStyle w:val="a4"/>
          <w:rFonts w:hint="eastAsia"/>
          <w:color w:val="333333"/>
          <w:spacing w:val="8"/>
        </w:rPr>
        <w:t>1.2　储气库数量</w:t>
      </w:r>
    </w:p>
    <w:p w14:paraId="543E123A"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欧洲在运行的储气库共163座（欧盟145座），建设中9座，规划32座。2015年，枯竭油气藏、盐穴、含水层储气库分别为86座、48座及27座。正在建设的枯竭油气藏储气库5座、盐穴储气库4座，规划建设的枯竭油气藏储气库17座、盐穴储气库13座、含水层储气库1座（图4）。关闭储气库8座。欧洲各国储气库数量：德国57座，占欧洲总数量的35％（欧盟39％）；此外，奥地利10座，波兰9座，英国8座，法国7座。</w:t>
      </w:r>
    </w:p>
    <w:p w14:paraId="424F0CB5" w14:textId="1BF010E2" w:rsidR="00B93A44" w:rsidRPr="00B93A44" w:rsidRDefault="00B93A44">
      <w:pPr>
        <w:rPr>
          <w:rFonts w:ascii="宋体" w:eastAsia="宋体" w:hAnsi="宋体"/>
          <w:sz w:val="24"/>
          <w:szCs w:val="24"/>
        </w:rPr>
      </w:pPr>
      <w:r w:rsidRPr="00B93A44">
        <w:rPr>
          <w:rFonts w:ascii="宋体" w:eastAsia="宋体" w:hAnsi="宋体"/>
          <w:noProof/>
          <w:sz w:val="24"/>
          <w:szCs w:val="24"/>
        </w:rPr>
        <w:lastRenderedPageBreak/>
        <w:drawing>
          <wp:inline distT="0" distB="0" distL="0" distR="0" wp14:anchorId="21A01B2E" wp14:editId="163F7820">
            <wp:extent cx="5153025" cy="80295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3025" cy="8029575"/>
                    </a:xfrm>
                    <a:prstGeom prst="rect">
                      <a:avLst/>
                    </a:prstGeom>
                  </pic:spPr>
                </pic:pic>
              </a:graphicData>
            </a:graphic>
          </wp:inline>
        </w:drawing>
      </w:r>
    </w:p>
    <w:p w14:paraId="20D22814" w14:textId="77777777" w:rsidR="00B93A44" w:rsidRPr="00B93A44" w:rsidRDefault="00B93A44" w:rsidP="00B93A44">
      <w:pPr>
        <w:pStyle w:val="a3"/>
        <w:shd w:val="clear" w:color="auto" w:fill="FFFFFF"/>
        <w:spacing w:before="0" w:beforeAutospacing="0" w:after="0" w:afterAutospacing="0" w:line="420" w:lineRule="atLeast"/>
        <w:jc w:val="both"/>
        <w:rPr>
          <w:color w:val="333333"/>
          <w:spacing w:val="8"/>
        </w:rPr>
      </w:pPr>
      <w:r w:rsidRPr="00B93A44">
        <w:rPr>
          <w:rStyle w:val="a4"/>
          <w:rFonts w:hint="eastAsia"/>
          <w:color w:val="333333"/>
          <w:spacing w:val="8"/>
        </w:rPr>
        <w:t>1.3　储气库运营商</w:t>
      </w:r>
    </w:p>
    <w:p w14:paraId="395839B1"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lastRenderedPageBreak/>
        <w:t>欧洲储气库由储气库运营商运行，目前有54个储气库运营商，其中德国14个，奥地利、荷兰及英国均多于4个，有12个国家只有1个运营商。欧洲储气库运营商联盟（Gas Storage Europe，GSE）包括17个国家的33个运营商，共101 座储气库，工作气量910×10</w:t>
      </w:r>
      <w:r w:rsidRPr="00B93A44">
        <w:rPr>
          <w:rFonts w:hint="eastAsia"/>
          <w:color w:val="333333"/>
          <w:spacing w:val="8"/>
          <w:vertAlign w:val="superscript"/>
        </w:rPr>
        <w:t>8</w:t>
      </w:r>
      <w:r w:rsidRPr="00B93A44">
        <w:rPr>
          <w:rFonts w:hint="eastAsia"/>
          <w:color w:val="333333"/>
          <w:spacing w:val="8"/>
        </w:rPr>
        <w:t>m</w:t>
      </w:r>
      <w:r w:rsidRPr="00B93A44">
        <w:rPr>
          <w:rFonts w:hint="eastAsia"/>
          <w:color w:val="333333"/>
          <w:spacing w:val="8"/>
          <w:vertAlign w:val="superscript"/>
        </w:rPr>
        <w:t>3</w:t>
      </w:r>
      <w:r w:rsidRPr="00B93A44">
        <w:rPr>
          <w:rFonts w:hint="eastAsia"/>
          <w:color w:val="333333"/>
          <w:spacing w:val="8"/>
        </w:rPr>
        <w:t>，占欧盟总工作气量的84％。</w:t>
      </w:r>
    </w:p>
    <w:p w14:paraId="08AA1E82"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1.4　储气库注采能力</w:t>
      </w:r>
    </w:p>
    <w:p w14:paraId="01612797"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欧洲储气库采气能力为24.5×10</w:t>
      </w:r>
      <w:r w:rsidRPr="00B93A44">
        <w:rPr>
          <w:rFonts w:hint="eastAsia"/>
          <w:color w:val="333333"/>
          <w:spacing w:val="8"/>
          <w:vertAlign w:val="superscript"/>
        </w:rPr>
        <w:t>8</w:t>
      </w:r>
      <w:r w:rsidRPr="00B93A44">
        <w:rPr>
          <w:rFonts w:hint="eastAsia"/>
          <w:color w:val="333333"/>
          <w:spacing w:val="8"/>
        </w:rPr>
        <w:t>m</w:t>
      </w:r>
      <w:r w:rsidRPr="00B93A44">
        <w:rPr>
          <w:rFonts w:hint="eastAsia"/>
          <w:color w:val="333333"/>
          <w:spacing w:val="8"/>
          <w:vertAlign w:val="superscript"/>
        </w:rPr>
        <w:t>3</w:t>
      </w:r>
      <w:r w:rsidRPr="00B93A44">
        <w:rPr>
          <w:rFonts w:hint="eastAsia"/>
          <w:color w:val="333333"/>
          <w:spacing w:val="8"/>
        </w:rPr>
        <w:t>/d，注气能力为14.6×10</w:t>
      </w:r>
      <w:r w:rsidRPr="00B93A44">
        <w:rPr>
          <w:rFonts w:hint="eastAsia"/>
          <w:color w:val="333333"/>
          <w:spacing w:val="8"/>
          <w:vertAlign w:val="superscript"/>
        </w:rPr>
        <w:t>8</w:t>
      </w:r>
      <w:r w:rsidRPr="00B93A44">
        <w:rPr>
          <w:rFonts w:hint="eastAsia"/>
          <w:color w:val="333333"/>
          <w:spacing w:val="8"/>
        </w:rPr>
        <w:t>m</w:t>
      </w:r>
      <w:r w:rsidRPr="00B93A44">
        <w:rPr>
          <w:rFonts w:hint="eastAsia"/>
          <w:color w:val="333333"/>
          <w:spacing w:val="8"/>
          <w:vertAlign w:val="superscript"/>
        </w:rPr>
        <w:t>3</w:t>
      </w:r>
      <w:r w:rsidRPr="00B93A44">
        <w:rPr>
          <w:rFonts w:hint="eastAsia"/>
          <w:color w:val="333333"/>
          <w:spacing w:val="8"/>
        </w:rPr>
        <w:t>/d（图5）。其中，德国采气能力为5.99×10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/d，注气能力为3.16×10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/d；法国采气能力为3.32×10</w:t>
      </w:r>
      <w:r w:rsidRPr="00B93A44">
        <w:rPr>
          <w:rFonts w:hint="eastAsia"/>
          <w:color w:val="333333"/>
          <w:spacing w:val="8"/>
          <w:vertAlign w:val="superscript"/>
        </w:rPr>
        <w:t>8</w:t>
      </w:r>
      <w:r w:rsidRPr="00B93A44">
        <w:rPr>
          <w:rFonts w:hint="eastAsia"/>
          <w:color w:val="333333"/>
          <w:spacing w:val="8"/>
        </w:rPr>
        <w:t>m</w:t>
      </w:r>
      <w:r w:rsidRPr="00B93A44">
        <w:rPr>
          <w:rFonts w:hint="eastAsia"/>
          <w:color w:val="333333"/>
          <w:spacing w:val="8"/>
          <w:vertAlign w:val="superscript"/>
        </w:rPr>
        <w:t>3</w:t>
      </w:r>
      <w:r w:rsidRPr="00B93A44">
        <w:rPr>
          <w:rFonts w:hint="eastAsia"/>
          <w:color w:val="333333"/>
          <w:spacing w:val="8"/>
        </w:rPr>
        <w:t>/d，注气能力为1.88×10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/d。</w:t>
      </w:r>
    </w:p>
    <w:p w14:paraId="63C47CD9" w14:textId="0B6D8764" w:rsidR="00B93A44" w:rsidRPr="00B93A44" w:rsidRDefault="00B93A44">
      <w:pPr>
        <w:rPr>
          <w:rFonts w:ascii="宋体" w:eastAsia="宋体" w:hAnsi="宋体"/>
          <w:sz w:val="24"/>
          <w:szCs w:val="24"/>
        </w:rPr>
      </w:pPr>
      <w:r w:rsidRPr="00B93A44">
        <w:rPr>
          <w:rFonts w:ascii="宋体" w:eastAsia="宋体" w:hAnsi="宋体"/>
          <w:noProof/>
          <w:sz w:val="24"/>
          <w:szCs w:val="24"/>
        </w:rPr>
        <w:drawing>
          <wp:inline distT="0" distB="0" distL="0" distR="0" wp14:anchorId="20CC1322" wp14:editId="0EC089A7">
            <wp:extent cx="5274310" cy="22301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230120"/>
                    </a:xfrm>
                    <a:prstGeom prst="rect">
                      <a:avLst/>
                    </a:prstGeom>
                  </pic:spPr>
                </pic:pic>
              </a:graphicData>
            </a:graphic>
          </wp:inline>
        </w:drawing>
      </w:r>
    </w:p>
    <w:p w14:paraId="03EFB1E4" w14:textId="2C8EB05F" w:rsidR="00B93A44" w:rsidRPr="00B93A44" w:rsidRDefault="00B93A44">
      <w:pPr>
        <w:rPr>
          <w:rFonts w:ascii="宋体" w:eastAsia="宋体" w:hAnsi="宋体"/>
          <w:color w:val="333333"/>
          <w:spacing w:val="8"/>
          <w:sz w:val="24"/>
          <w:szCs w:val="24"/>
          <w:shd w:val="clear" w:color="auto" w:fill="FFFFFF"/>
        </w:rPr>
      </w:pPr>
      <w:r w:rsidRPr="00B93A44">
        <w:rPr>
          <w:rFonts w:ascii="宋体" w:eastAsia="宋体" w:hAnsi="宋体" w:hint="eastAsia"/>
          <w:color w:val="333333"/>
          <w:spacing w:val="8"/>
          <w:sz w:val="24"/>
          <w:szCs w:val="24"/>
          <w:shd w:val="clear" w:color="auto" w:fill="FFFFFF"/>
        </w:rPr>
        <w:t>2010－2016 年欧洲注气能力由1×10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 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/d 增至11.79×10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 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/d、采气能力由2×10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 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/d 增至19.6×10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 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/d。日最大注气量为10.0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×10</w:t>
      </w:r>
      <w:r w:rsidRPr="00B93A44">
        <w:rPr>
          <w:rFonts w:ascii="宋体" w:eastAsia="宋体" w:hAnsi="宋体" w:hint="eastAsia"/>
          <w:color w:val="333333"/>
          <w:spacing w:val="8"/>
          <w:sz w:val="24"/>
          <w:szCs w:val="24"/>
          <w:shd w:val="clear" w:color="auto" w:fill="FFFFFF"/>
          <w:vertAlign w:val="superscript"/>
        </w:rPr>
        <w:t>8 </w:t>
      </w:r>
      <w:r w:rsidRPr="00B93A44">
        <w:rPr>
          <w:rFonts w:ascii="宋体" w:eastAsia="宋体" w:hAnsi="宋体" w:hint="eastAsia"/>
          <w:color w:val="333333"/>
          <w:spacing w:val="8"/>
          <w:sz w:val="24"/>
          <w:szCs w:val="24"/>
          <w:shd w:val="clear" w:color="auto" w:fill="FFFFFF"/>
        </w:rPr>
        <w:t>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/d、日最大采气量为8.42×10</w:t>
      </w:r>
      <w:r w:rsidRPr="00B93A44">
        <w:rPr>
          <w:rFonts w:ascii="宋体" w:eastAsia="宋体" w:hAnsi="宋体" w:hint="eastAsia"/>
          <w:color w:val="333333"/>
          <w:spacing w:val="8"/>
          <w:sz w:val="24"/>
          <w:szCs w:val="24"/>
          <w:shd w:val="clear" w:color="auto" w:fill="FFFFFF"/>
          <w:vertAlign w:val="superscript"/>
        </w:rPr>
        <w:t>8</w:t>
      </w:r>
      <w:r w:rsidRPr="00B93A44">
        <w:rPr>
          <w:rFonts w:ascii="宋体" w:eastAsia="宋体" w:hAnsi="宋体" w:hint="eastAsia"/>
          <w:color w:val="333333"/>
          <w:spacing w:val="8"/>
          <w:sz w:val="24"/>
          <w:szCs w:val="24"/>
          <w:shd w:val="clear" w:color="auto" w:fill="FFFFFF"/>
        </w:rPr>
        <w:t> m</w:t>
      </w:r>
      <w:r w:rsidRPr="00B93A44">
        <w:rPr>
          <w:rFonts w:ascii="宋体" w:eastAsia="宋体" w:hAnsi="宋体" w:hint="eastAsia"/>
          <w:color w:val="333333"/>
          <w:spacing w:val="8"/>
          <w:sz w:val="24"/>
          <w:szCs w:val="24"/>
          <w:shd w:val="clear" w:color="auto" w:fill="FFFFFF"/>
          <w:vertAlign w:val="superscript"/>
        </w:rPr>
        <w:t>3</w:t>
      </w:r>
      <w:r w:rsidRPr="00B93A44">
        <w:rPr>
          <w:rFonts w:ascii="宋体" w:eastAsia="宋体" w:hAnsi="宋体" w:hint="eastAsia"/>
          <w:color w:val="333333"/>
          <w:spacing w:val="8"/>
          <w:sz w:val="24"/>
          <w:szCs w:val="24"/>
          <w:shd w:val="clear" w:color="auto" w:fill="FFFFFF"/>
        </w:rPr>
        <w:t>/d。日注气量占比日注气能力的最大值1.23，日采出量占比日采气能力的最大值0.70（图6）。</w:t>
      </w:r>
    </w:p>
    <w:p w14:paraId="7910F39E" w14:textId="2FF9D4A7" w:rsidR="00B93A44" w:rsidRPr="00B93A44" w:rsidRDefault="00B93A44">
      <w:pPr>
        <w:rPr>
          <w:rFonts w:ascii="宋体" w:eastAsia="宋体" w:hAnsi="宋体"/>
          <w:sz w:val="24"/>
          <w:szCs w:val="24"/>
        </w:rPr>
      </w:pPr>
      <w:r w:rsidRPr="00B93A44">
        <w:rPr>
          <w:rFonts w:ascii="宋体" w:eastAsia="宋体" w:hAnsi="宋体"/>
          <w:noProof/>
          <w:sz w:val="24"/>
          <w:szCs w:val="24"/>
        </w:rPr>
        <w:drawing>
          <wp:inline distT="0" distB="0" distL="0" distR="0" wp14:anchorId="00F16838" wp14:editId="4B0C3FD6">
            <wp:extent cx="5274310" cy="25038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03805"/>
                    </a:xfrm>
                    <a:prstGeom prst="rect">
                      <a:avLst/>
                    </a:prstGeom>
                  </pic:spPr>
                </pic:pic>
              </a:graphicData>
            </a:graphic>
          </wp:inline>
        </w:drawing>
      </w:r>
    </w:p>
    <w:p w14:paraId="433067FB" w14:textId="77777777" w:rsidR="00B93A44" w:rsidRPr="00B93A44" w:rsidRDefault="00B93A44" w:rsidP="00B93A44">
      <w:pPr>
        <w:pStyle w:val="a3"/>
        <w:shd w:val="clear" w:color="auto" w:fill="FFFFFF"/>
        <w:spacing w:before="0" w:beforeAutospacing="0" w:after="0" w:afterAutospacing="0" w:line="420" w:lineRule="atLeast"/>
        <w:jc w:val="both"/>
        <w:rPr>
          <w:color w:val="333333"/>
          <w:spacing w:val="8"/>
        </w:rPr>
      </w:pPr>
      <w:r w:rsidRPr="00B93A44">
        <w:rPr>
          <w:rStyle w:val="a4"/>
          <w:rFonts w:hint="eastAsia"/>
          <w:color w:val="333333"/>
          <w:spacing w:val="8"/>
        </w:rPr>
        <w:t>2　储气库产品与注采曲线</w:t>
      </w:r>
    </w:p>
    <w:p w14:paraId="3311E971"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lastRenderedPageBreak/>
        <w:t>欧洲储气库与管网系统分离，由储气库运营商独立运营。客户与运营商签订储气容量合同，申请、订购及指派容量，并在网络平台完成交易。储气库运营商发布容量产品、注采曲线及储存类型，制定储存使用规则、工作气量限制、工作气量超限处理、中断与限制客户储存容量等规定。</w:t>
      </w:r>
    </w:p>
    <w:p w14:paraId="5135650C"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2.1　储气容量产品</w:t>
      </w:r>
    </w:p>
    <w:p w14:paraId="087264C4"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储气库容量按销售方式分为绑定容量和非绑定容量（或称额外容量），按稳定性分为固定容量和可中断容量。储气库储存容量以能量为单位，细分为工作气量、注气速率及采气速率。绑定容量将工作气量、注气速率及采气速率绑定销售，而非绑定容量将三者分开销售。绑定容量/非绑定容量与固定容量/可中断容量组合形成4类交易储气容量：固定绑定储存容量、固定非绑定储存容量、可中断绑定容量及可中断非绑定容量。客户根据季节性需求订购固定绑定、固定非法绑定、可中断绑定及可中断非绑定的储气容量组合，达到灵活利用储气量的目的（图7）。</w:t>
      </w:r>
    </w:p>
    <w:p w14:paraId="1E5FD154" w14:textId="55853D3C" w:rsidR="00B93A44" w:rsidRPr="00B93A44" w:rsidRDefault="00B93A44">
      <w:pPr>
        <w:rPr>
          <w:rFonts w:ascii="宋体" w:eastAsia="宋体" w:hAnsi="宋体"/>
          <w:sz w:val="24"/>
          <w:szCs w:val="24"/>
        </w:rPr>
      </w:pPr>
      <w:r w:rsidRPr="00B93A44">
        <w:rPr>
          <w:rFonts w:ascii="宋体" w:eastAsia="宋体" w:hAnsi="宋体"/>
          <w:noProof/>
          <w:sz w:val="24"/>
          <w:szCs w:val="24"/>
        </w:rPr>
        <w:drawing>
          <wp:inline distT="0" distB="0" distL="0" distR="0" wp14:anchorId="5D3686CB" wp14:editId="0FDE12D5">
            <wp:extent cx="4943475" cy="24479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3475" cy="2447925"/>
                    </a:xfrm>
                    <a:prstGeom prst="rect">
                      <a:avLst/>
                    </a:prstGeom>
                  </pic:spPr>
                </pic:pic>
              </a:graphicData>
            </a:graphic>
          </wp:inline>
        </w:drawing>
      </w:r>
    </w:p>
    <w:p w14:paraId="738B080D" w14:textId="32BB3CB0" w:rsidR="00B93A44" w:rsidRPr="00B93A44" w:rsidRDefault="00B93A44">
      <w:pPr>
        <w:rPr>
          <w:rFonts w:ascii="宋体" w:eastAsia="宋体" w:hAnsi="宋体"/>
          <w:color w:val="333333"/>
          <w:spacing w:val="8"/>
          <w:sz w:val="24"/>
          <w:szCs w:val="24"/>
          <w:shd w:val="clear" w:color="auto" w:fill="FFFFFF"/>
        </w:rPr>
      </w:pPr>
      <w:r w:rsidRPr="00B93A44">
        <w:rPr>
          <w:rFonts w:ascii="宋体" w:eastAsia="宋体" w:hAnsi="宋体" w:hint="eastAsia"/>
          <w:color w:val="333333"/>
          <w:spacing w:val="8"/>
          <w:sz w:val="24"/>
          <w:szCs w:val="24"/>
          <w:shd w:val="clear" w:color="auto" w:fill="FFFFFF"/>
        </w:rPr>
        <w:t>依据储气库技术特征和市场需求，储气库运营商提供多种类型的储气服务，如</w:t>
      </w:r>
      <w:proofErr w:type="spellStart"/>
      <w:r w:rsidRPr="00B93A44">
        <w:rPr>
          <w:rFonts w:ascii="宋体" w:eastAsia="宋体" w:hAnsi="宋体" w:hint="eastAsia"/>
          <w:color w:val="333333"/>
          <w:spacing w:val="8"/>
          <w:sz w:val="24"/>
          <w:szCs w:val="24"/>
          <w:shd w:val="clear" w:color="auto" w:fill="FFFFFF"/>
        </w:rPr>
        <w:t>a~e</w:t>
      </w:r>
      <w:proofErr w:type="spellEnd"/>
      <w:r w:rsidRPr="00B93A44">
        <w:rPr>
          <w:rFonts w:ascii="宋体" w:eastAsia="宋体" w:hAnsi="宋体" w:hint="eastAsia"/>
          <w:color w:val="333333"/>
          <w:spacing w:val="8"/>
          <w:sz w:val="24"/>
          <w:szCs w:val="24"/>
          <w:shd w:val="clear" w:color="auto" w:fill="FFFFFF"/>
        </w:rPr>
        <w:t xml:space="preserve"> 共5 种绑定容量类型（表2），用于快速波动储存（a）至季节性储存（e）大范围储气服务。a型绑定容量是指相对于工作气量，采气速率和注气速率高。e 型绑定容量是指相对于采气速率和注气速率，工作气量大，适用于季节性储气。在表2 中，采出天数表示以相应采气速率采出该类型工作气量所需的时间，注入天数表示以相应注气速率注入该类型工作气量所需的时间，波动率表示年天数（取360 天）与采出天数和注入天数之和的比值，a 型至e 型绑定容量波动率依次降低。</w:t>
      </w:r>
    </w:p>
    <w:p w14:paraId="5413EC60" w14:textId="745FC87A" w:rsidR="00B93A44" w:rsidRPr="00B93A44" w:rsidRDefault="00B93A44">
      <w:pPr>
        <w:rPr>
          <w:rFonts w:ascii="宋体" w:eastAsia="宋体" w:hAnsi="宋体"/>
          <w:sz w:val="24"/>
          <w:szCs w:val="24"/>
        </w:rPr>
      </w:pPr>
      <w:r w:rsidRPr="00B93A44">
        <w:rPr>
          <w:rFonts w:ascii="宋体" w:eastAsia="宋体" w:hAnsi="宋体"/>
          <w:noProof/>
          <w:sz w:val="24"/>
          <w:szCs w:val="24"/>
        </w:rPr>
        <w:lastRenderedPageBreak/>
        <w:drawing>
          <wp:inline distT="0" distB="0" distL="0" distR="0" wp14:anchorId="271751C8" wp14:editId="7BFEADD5">
            <wp:extent cx="5274310" cy="137477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374775"/>
                    </a:xfrm>
                    <a:prstGeom prst="rect">
                      <a:avLst/>
                    </a:prstGeom>
                  </pic:spPr>
                </pic:pic>
              </a:graphicData>
            </a:graphic>
          </wp:inline>
        </w:drawing>
      </w:r>
    </w:p>
    <w:p w14:paraId="1729B943" w14:textId="77777777" w:rsidR="00B93A44" w:rsidRPr="00B93A44" w:rsidRDefault="00B93A44" w:rsidP="00B93A44">
      <w:pPr>
        <w:pStyle w:val="a3"/>
        <w:shd w:val="clear" w:color="auto" w:fill="FFFFFF"/>
        <w:spacing w:before="0" w:beforeAutospacing="0" w:after="0" w:afterAutospacing="0" w:line="420" w:lineRule="atLeast"/>
        <w:jc w:val="both"/>
        <w:rPr>
          <w:color w:val="333333"/>
          <w:spacing w:val="8"/>
        </w:rPr>
      </w:pPr>
      <w:r w:rsidRPr="00B93A44">
        <w:rPr>
          <w:rStyle w:val="a4"/>
          <w:rFonts w:hint="eastAsia"/>
          <w:color w:val="333333"/>
          <w:spacing w:val="8"/>
        </w:rPr>
        <w:t>2.2　注采曲线</w:t>
      </w:r>
    </w:p>
    <w:p w14:paraId="36B50061"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注采特性曲线定义了最大注采速率与目前工作气量的关系。固定和可中断容量服务是根据储气库的注采速率制定的，而注采速率由储气量（压力）和特性曲线决定。注采特性曲线包括固定采出曲线、固定注入曲线及可中断注采速率。</w:t>
      </w:r>
    </w:p>
    <w:p w14:paraId="58DC5630"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Style w:val="a4"/>
          <w:rFonts w:hint="eastAsia"/>
          <w:color w:val="333333"/>
          <w:spacing w:val="8"/>
        </w:rPr>
        <w:t>2.2.1　固定采出曲线</w:t>
      </w:r>
    </w:p>
    <w:p w14:paraId="17E35E2F"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固定采出曲线是指固定采气速率曲线（图8），表达了固定采出速率和采出气量间的关系，是固定绑定采气速率与固定非绑定采气速率之和。采气过程中先以最大采气速率采出工作气量的50％，之后采出速率在25％～100％区间线性下降。根据采出工作气量50％划分点，采出曲线有A、B 两类，A 类采出工作气量为绑定和非绑定工作气量之和，B 类仅为绑定工作气量。当储气用户使用B 类采出曲线时，A 类和B 类曲线间的采出速率可作为可中断采出速率。固定注入曲线与采出曲线类似，但下降区域不同。基于此，统计了欧洲部分储气库注采曲线类型（表3）。</w:t>
      </w:r>
    </w:p>
    <w:p w14:paraId="2218E81E" w14:textId="6403B29F" w:rsidR="00B93A44" w:rsidRPr="00B93A44" w:rsidRDefault="00B93A44">
      <w:pPr>
        <w:rPr>
          <w:rFonts w:ascii="宋体" w:eastAsia="宋体" w:hAnsi="宋体"/>
          <w:sz w:val="24"/>
          <w:szCs w:val="24"/>
        </w:rPr>
      </w:pPr>
      <w:r w:rsidRPr="00B93A44">
        <w:rPr>
          <w:rFonts w:ascii="宋体" w:eastAsia="宋体" w:hAnsi="宋体"/>
          <w:noProof/>
          <w:sz w:val="24"/>
          <w:szCs w:val="24"/>
        </w:rPr>
        <w:lastRenderedPageBreak/>
        <w:drawing>
          <wp:inline distT="0" distB="0" distL="0" distR="0" wp14:anchorId="1353EF56" wp14:editId="551D66F5">
            <wp:extent cx="5274310" cy="37534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753485"/>
                    </a:xfrm>
                    <a:prstGeom prst="rect">
                      <a:avLst/>
                    </a:prstGeom>
                  </pic:spPr>
                </pic:pic>
              </a:graphicData>
            </a:graphic>
          </wp:inline>
        </w:drawing>
      </w:r>
    </w:p>
    <w:p w14:paraId="7CE873FF" w14:textId="644A940F" w:rsidR="00B93A44" w:rsidRPr="00B93A44" w:rsidRDefault="00B93A44">
      <w:pPr>
        <w:rPr>
          <w:rFonts w:ascii="宋体" w:eastAsia="宋体" w:hAnsi="宋体"/>
          <w:sz w:val="24"/>
          <w:szCs w:val="24"/>
        </w:rPr>
      </w:pPr>
      <w:r w:rsidRPr="00B93A44">
        <w:rPr>
          <w:rFonts w:ascii="宋体" w:eastAsia="宋体" w:hAnsi="宋体"/>
          <w:noProof/>
          <w:sz w:val="24"/>
          <w:szCs w:val="24"/>
        </w:rPr>
        <w:drawing>
          <wp:inline distT="0" distB="0" distL="0" distR="0" wp14:anchorId="7E9B4FA9" wp14:editId="5C31244D">
            <wp:extent cx="5274310" cy="399669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996690"/>
                    </a:xfrm>
                    <a:prstGeom prst="rect">
                      <a:avLst/>
                    </a:prstGeom>
                  </pic:spPr>
                </pic:pic>
              </a:graphicData>
            </a:graphic>
          </wp:inline>
        </w:drawing>
      </w:r>
    </w:p>
    <w:p w14:paraId="1BB79FF0" w14:textId="77777777" w:rsidR="00B93A44" w:rsidRPr="00B93A44" w:rsidRDefault="00B93A44" w:rsidP="00B93A44">
      <w:pPr>
        <w:pStyle w:val="a3"/>
        <w:shd w:val="clear" w:color="auto" w:fill="FFFFFF"/>
        <w:spacing w:before="0" w:beforeAutospacing="0" w:after="0" w:afterAutospacing="0" w:line="420" w:lineRule="atLeast"/>
        <w:ind w:firstLine="480"/>
        <w:jc w:val="both"/>
        <w:rPr>
          <w:color w:val="333333"/>
          <w:spacing w:val="8"/>
        </w:rPr>
      </w:pPr>
      <w:r w:rsidRPr="00B93A44">
        <w:rPr>
          <w:rStyle w:val="a4"/>
          <w:rFonts w:hint="eastAsia"/>
          <w:color w:val="333333"/>
          <w:spacing w:val="8"/>
        </w:rPr>
        <w:t>2.2.2　可中断注采速率</w:t>
      </w:r>
    </w:p>
    <w:p w14:paraId="6E7F83B1"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 xml:space="preserve">固定注采曲线和可中断注采速率最终构成注采曲线。欧洲各国依据储气库类型和客户订购储存容量的情况，制定各年度可中断注采速率，根据2016 </w:t>
      </w:r>
      <w:r w:rsidRPr="00B93A44">
        <w:rPr>
          <w:rFonts w:hint="eastAsia"/>
          <w:color w:val="333333"/>
          <w:spacing w:val="8"/>
        </w:rPr>
        <w:lastRenderedPageBreak/>
        <w:t>年德国部分储气库注气速率构成（图9），</w:t>
      </w:r>
      <w:proofErr w:type="spellStart"/>
      <w:r w:rsidRPr="00B93A44">
        <w:rPr>
          <w:rFonts w:hint="eastAsia"/>
          <w:color w:val="333333"/>
          <w:spacing w:val="8"/>
        </w:rPr>
        <w:t>Eschenfelden</w:t>
      </w:r>
      <w:proofErr w:type="spellEnd"/>
      <w:r w:rsidRPr="00B93A44">
        <w:rPr>
          <w:rFonts w:hint="eastAsia"/>
          <w:color w:val="333333"/>
          <w:spacing w:val="8"/>
        </w:rPr>
        <w:t>、</w:t>
      </w:r>
      <w:proofErr w:type="spellStart"/>
      <w:r w:rsidRPr="00B93A44">
        <w:rPr>
          <w:rFonts w:hint="eastAsia"/>
          <w:color w:val="333333"/>
          <w:spacing w:val="8"/>
        </w:rPr>
        <w:t>Epe</w:t>
      </w:r>
      <w:proofErr w:type="spellEnd"/>
      <w:r w:rsidRPr="00B93A44">
        <w:rPr>
          <w:rFonts w:hint="eastAsia"/>
          <w:color w:val="333333"/>
          <w:spacing w:val="8"/>
        </w:rPr>
        <w:t xml:space="preserve"> L-Gas、Etzel ESE、</w:t>
      </w:r>
      <w:proofErr w:type="spellStart"/>
      <w:r w:rsidRPr="00B93A44">
        <w:rPr>
          <w:rFonts w:hint="eastAsia"/>
          <w:color w:val="333333"/>
          <w:spacing w:val="8"/>
        </w:rPr>
        <w:t>Kraak</w:t>
      </w:r>
      <w:proofErr w:type="spellEnd"/>
      <w:r w:rsidRPr="00B93A44">
        <w:rPr>
          <w:rFonts w:hint="eastAsia"/>
          <w:color w:val="333333"/>
          <w:spacing w:val="8"/>
        </w:rPr>
        <w:t>、Nü</w:t>
      </w:r>
      <w:proofErr w:type="spellStart"/>
      <w:r w:rsidRPr="00B93A44">
        <w:rPr>
          <w:rFonts w:hint="eastAsia"/>
          <w:color w:val="333333"/>
          <w:spacing w:val="8"/>
        </w:rPr>
        <w:t>ttermoor</w:t>
      </w:r>
      <w:proofErr w:type="spellEnd"/>
      <w:r w:rsidRPr="00B93A44">
        <w:rPr>
          <w:rFonts w:hint="eastAsia"/>
          <w:color w:val="333333"/>
          <w:spacing w:val="8"/>
        </w:rPr>
        <w:t xml:space="preserve"> 及Ronne储气库的可中断注气速率大于 0，占总注气速率百分比的变化范围为2.32 ％～50 ％；7Fields、</w:t>
      </w:r>
      <w:proofErr w:type="spellStart"/>
      <w:r w:rsidRPr="00B93A44">
        <w:rPr>
          <w:rFonts w:hint="eastAsia"/>
          <w:color w:val="333333"/>
          <w:spacing w:val="8"/>
        </w:rPr>
        <w:t>Bierwang</w:t>
      </w:r>
      <w:proofErr w:type="spellEnd"/>
      <w:r w:rsidRPr="00B93A44">
        <w:rPr>
          <w:rFonts w:hint="eastAsia"/>
          <w:color w:val="333333"/>
          <w:spacing w:val="8"/>
        </w:rPr>
        <w:t>、</w:t>
      </w:r>
      <w:proofErr w:type="spellStart"/>
      <w:r w:rsidRPr="00B93A44">
        <w:rPr>
          <w:rFonts w:hint="eastAsia"/>
          <w:color w:val="333333"/>
          <w:spacing w:val="8"/>
        </w:rPr>
        <w:t>Breitbrunn</w:t>
      </w:r>
      <w:proofErr w:type="spellEnd"/>
      <w:r w:rsidRPr="00B93A44">
        <w:rPr>
          <w:rFonts w:hint="eastAsia"/>
          <w:color w:val="333333"/>
          <w:spacing w:val="8"/>
        </w:rPr>
        <w:t>、</w:t>
      </w:r>
      <w:proofErr w:type="spellStart"/>
      <w:r w:rsidRPr="00B93A44">
        <w:rPr>
          <w:rFonts w:hint="eastAsia"/>
          <w:color w:val="333333"/>
          <w:spacing w:val="8"/>
        </w:rPr>
        <w:t>Epe</w:t>
      </w:r>
      <w:proofErr w:type="spellEnd"/>
      <w:r w:rsidRPr="00B93A44">
        <w:rPr>
          <w:rFonts w:hint="eastAsia"/>
          <w:color w:val="333333"/>
          <w:spacing w:val="8"/>
        </w:rPr>
        <w:t xml:space="preserve"> H-Gas、Etzel EGL 及Krummhorn 储气库的可中断注气速率为0。</w:t>
      </w:r>
    </w:p>
    <w:p w14:paraId="1C1EE77B" w14:textId="2CEBFE69" w:rsidR="00B93A44" w:rsidRPr="00B93A44" w:rsidRDefault="00B93A44">
      <w:pPr>
        <w:rPr>
          <w:rFonts w:ascii="宋体" w:eastAsia="宋体" w:hAnsi="宋体"/>
          <w:sz w:val="24"/>
          <w:szCs w:val="24"/>
        </w:rPr>
      </w:pPr>
    </w:p>
    <w:p w14:paraId="748BC534" w14:textId="544B1105" w:rsidR="00B93A44" w:rsidRPr="00B93A44" w:rsidRDefault="00B93A44">
      <w:pPr>
        <w:rPr>
          <w:rFonts w:ascii="宋体" w:eastAsia="宋体" w:hAnsi="宋体"/>
          <w:sz w:val="24"/>
          <w:szCs w:val="24"/>
        </w:rPr>
      </w:pPr>
      <w:r w:rsidRPr="00B93A44">
        <w:rPr>
          <w:rFonts w:ascii="宋体" w:eastAsia="宋体" w:hAnsi="宋体"/>
          <w:noProof/>
          <w:sz w:val="24"/>
          <w:szCs w:val="24"/>
        </w:rPr>
        <w:drawing>
          <wp:inline distT="0" distB="0" distL="0" distR="0" wp14:anchorId="2EF6E80C" wp14:editId="2DC0B0CA">
            <wp:extent cx="5274310" cy="22148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14880"/>
                    </a:xfrm>
                    <a:prstGeom prst="rect">
                      <a:avLst/>
                    </a:prstGeom>
                  </pic:spPr>
                </pic:pic>
              </a:graphicData>
            </a:graphic>
          </wp:inline>
        </w:drawing>
      </w:r>
    </w:p>
    <w:p w14:paraId="02C4D143" w14:textId="77777777" w:rsidR="00B93A44" w:rsidRPr="00B93A44" w:rsidRDefault="00B93A44" w:rsidP="00B93A44">
      <w:pPr>
        <w:pStyle w:val="a3"/>
        <w:shd w:val="clear" w:color="auto" w:fill="FFFFFF"/>
        <w:spacing w:before="0" w:beforeAutospacing="0" w:after="0" w:afterAutospacing="0" w:line="420" w:lineRule="atLeast"/>
        <w:jc w:val="both"/>
        <w:rPr>
          <w:color w:val="333333"/>
          <w:spacing w:val="8"/>
        </w:rPr>
      </w:pPr>
      <w:r w:rsidRPr="00B93A44">
        <w:rPr>
          <w:rStyle w:val="a4"/>
          <w:rFonts w:hint="eastAsia"/>
          <w:color w:val="333333"/>
          <w:spacing w:val="8"/>
        </w:rPr>
        <w:t>2.3　储气容量产品</w:t>
      </w:r>
    </w:p>
    <w:p w14:paraId="539CAC77"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欧洲储气库产品略有差异，主要分为固定价格产品、浮动价格产品、月产品及附加产品。其中，固定价格产品和浮动价格产品又称年产品，附加产品又分为可中断平行产品、短期交易产品及转运服务。</w:t>
      </w:r>
    </w:p>
    <w:p w14:paraId="3C9122C1"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（1）固定价格产品是指由运营商给定固定价格的储气产品，一般可订购未来15 年的产品。</w:t>
      </w:r>
    </w:p>
    <w:p w14:paraId="26EF2892"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（2）浮动价格产品是指由市场决定价格的储气产品。</w:t>
      </w:r>
    </w:p>
    <w:p w14:paraId="3FF43671"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（3）月产品是指每年未销售的绑定容量将以月产品的形式销售，一般不受储气量约束，只定义最大注采速率（无注采曲线）。</w:t>
      </w:r>
    </w:p>
    <w:p w14:paraId="16D958E2"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（4）短期交易产品是指日注采速率的交易，客户从储气库运营商的短期公告栏购买短期容量，并允许客户间交易。</w:t>
      </w:r>
    </w:p>
    <w:p w14:paraId="2B3382AF"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 xml:space="preserve">（5）可中断平行产品也称自由曲线产品，购买可中断平行产品后，可不受注采特性曲线的限制使用订购的储存容量。该产品一般用于盐岩储气库，例如Etzel ESE and </w:t>
      </w:r>
      <w:proofErr w:type="spellStart"/>
      <w:r w:rsidRPr="00B93A44">
        <w:rPr>
          <w:rFonts w:hint="eastAsia"/>
          <w:color w:val="333333"/>
          <w:spacing w:val="8"/>
        </w:rPr>
        <w:t>Rönne</w:t>
      </w:r>
      <w:proofErr w:type="spellEnd"/>
      <w:r w:rsidRPr="00B93A44">
        <w:rPr>
          <w:rFonts w:hint="eastAsia"/>
          <w:color w:val="333333"/>
          <w:spacing w:val="8"/>
        </w:rPr>
        <w:t xml:space="preserve"> 储气库可扩充注气速率和采气速率；</w:t>
      </w:r>
      <w:proofErr w:type="spellStart"/>
      <w:r w:rsidRPr="00B93A44">
        <w:rPr>
          <w:rFonts w:hint="eastAsia"/>
          <w:color w:val="333333"/>
          <w:spacing w:val="8"/>
        </w:rPr>
        <w:t>EpeH</w:t>
      </w:r>
      <w:proofErr w:type="spellEnd"/>
      <w:r w:rsidRPr="00B93A44">
        <w:rPr>
          <w:rFonts w:hint="eastAsia"/>
          <w:color w:val="333333"/>
          <w:spacing w:val="8"/>
        </w:rPr>
        <w:t>-Gas、</w:t>
      </w:r>
      <w:proofErr w:type="spellStart"/>
      <w:r w:rsidRPr="00B93A44">
        <w:rPr>
          <w:rFonts w:hint="eastAsia"/>
          <w:color w:val="333333"/>
          <w:spacing w:val="8"/>
        </w:rPr>
        <w:t>Epe</w:t>
      </w:r>
      <w:proofErr w:type="spellEnd"/>
      <w:r w:rsidRPr="00B93A44">
        <w:rPr>
          <w:rFonts w:hint="eastAsia"/>
          <w:color w:val="333333"/>
          <w:spacing w:val="8"/>
        </w:rPr>
        <w:t xml:space="preserve"> L-Gas and Etzel EGL 储气库可扩充注气速率，储气容量使用不受注采曲线限制，只受限于订购的工作气量。</w:t>
      </w:r>
    </w:p>
    <w:p w14:paraId="72295055"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lastRenderedPageBreak/>
        <w:t>（6）转运服务是指当储气库运营商管理多个储气库时，允许储气库间容量的转移。该服务可用于固定/可中断的绑定/非绑定容量转运，适用于长期订购合同，且未选定储气库的情况，进一步优化储气组合。</w:t>
      </w:r>
    </w:p>
    <w:p w14:paraId="35FBC823"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2.4　产品价格</w:t>
      </w:r>
    </w:p>
    <w:p w14:paraId="1739B8EA"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储气服务费用与管输费用分离后，出现储气库价格及形成机制的问题[9]，欧洲储气库产品价格主要由4 部分组成，包括储存费、系统服务费、可变费用及运输费用。储存费是购买工作气量、注气速率及采气速率费用。储存费根据价格机制分为固定价格产品费用和浮动价格产品费用两类。系统服务指储气库运营商为客户提供的IT 系统、接收和核对容量指派、维护工作气量账户、每月记账及处理合同等服务，并根据客户订立合同的储气库数量和年数，收取系统服务费（年固定费用）。可变费用是储气库注气运行的费用。运输费用是储气库气体的管输费用，用户与管网运营商签订管输容量合同。每年的产品价格以基准年产品价格为基础定期修改，如德国</w:t>
      </w:r>
      <w:proofErr w:type="spellStart"/>
      <w:r w:rsidRPr="00B93A44">
        <w:rPr>
          <w:rFonts w:hint="eastAsia"/>
          <w:color w:val="333333"/>
          <w:spacing w:val="8"/>
        </w:rPr>
        <w:t>Uniper</w:t>
      </w:r>
      <w:proofErr w:type="spellEnd"/>
      <w:r w:rsidRPr="00B93A44">
        <w:rPr>
          <w:rFonts w:hint="eastAsia"/>
          <w:color w:val="333333"/>
          <w:spacing w:val="8"/>
        </w:rPr>
        <w:t xml:space="preserve"> 公司的年产品价格以2007 年的产品价格为基础计算每年价格，并在每年4 月1 日6:00 执行新价格。</w:t>
      </w:r>
    </w:p>
    <w:p w14:paraId="1C77A674"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Fonts w:hint="eastAsia"/>
          <w:color w:val="333333"/>
          <w:spacing w:val="8"/>
        </w:rPr>
        <w:t> </w:t>
      </w:r>
    </w:p>
    <w:p w14:paraId="35396185"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3　储气库运营体系</w:t>
      </w:r>
    </w:p>
    <w:p w14:paraId="755EF9B0"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3.1　组成</w:t>
      </w:r>
    </w:p>
    <w:p w14:paraId="579DD4FD"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20 世纪80 年代，欧洲开始对内部能源市场进行整合及市场化改革，第二次能源改革后，天然气设施、天然气商品、销售环节所有权分离，需要分别购买储气库容量、天然气管输容量及天然气商品。储气库运营参与者包括储气库运营商、管道运营商和储气库客户（图10）。储气库作为天然气产业链的重要部分，涵盖钻井、地面工程多个领域，传统信息管理方式不符合企业信息化建设要求，因此各运营商建立了各自的信息数据管理平台。</w:t>
      </w:r>
    </w:p>
    <w:p w14:paraId="5ED8CC46" w14:textId="5D00D815" w:rsidR="00B93A44" w:rsidRPr="00B93A44" w:rsidRDefault="00B93A44">
      <w:pPr>
        <w:rPr>
          <w:rFonts w:ascii="宋体" w:eastAsia="宋体" w:hAnsi="宋体"/>
          <w:sz w:val="24"/>
          <w:szCs w:val="24"/>
        </w:rPr>
      </w:pPr>
    </w:p>
    <w:p w14:paraId="046E863C" w14:textId="71B551AB" w:rsidR="00B93A44" w:rsidRPr="00B93A44" w:rsidRDefault="00B93A44">
      <w:pPr>
        <w:rPr>
          <w:rFonts w:ascii="宋体" w:eastAsia="宋体" w:hAnsi="宋体"/>
          <w:sz w:val="24"/>
          <w:szCs w:val="24"/>
        </w:rPr>
      </w:pPr>
      <w:r w:rsidRPr="00B93A44">
        <w:rPr>
          <w:rFonts w:ascii="宋体" w:eastAsia="宋体" w:hAnsi="宋体"/>
          <w:noProof/>
          <w:sz w:val="24"/>
          <w:szCs w:val="24"/>
        </w:rPr>
        <w:lastRenderedPageBreak/>
        <w:drawing>
          <wp:inline distT="0" distB="0" distL="0" distR="0" wp14:anchorId="3C8BBCCF" wp14:editId="57D717B5">
            <wp:extent cx="5038725" cy="28289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8725" cy="2828925"/>
                    </a:xfrm>
                    <a:prstGeom prst="rect">
                      <a:avLst/>
                    </a:prstGeom>
                  </pic:spPr>
                </pic:pic>
              </a:graphicData>
            </a:graphic>
          </wp:inline>
        </w:drawing>
      </w:r>
    </w:p>
    <w:p w14:paraId="76B79049" w14:textId="77777777" w:rsidR="00B93A44" w:rsidRPr="00B93A44" w:rsidRDefault="00B93A44" w:rsidP="00B93A44">
      <w:pPr>
        <w:pStyle w:val="a3"/>
        <w:shd w:val="clear" w:color="auto" w:fill="FFFFFF"/>
        <w:spacing w:before="0" w:beforeAutospacing="0" w:after="0" w:afterAutospacing="0" w:line="420" w:lineRule="atLeast"/>
        <w:ind w:firstLine="480"/>
        <w:jc w:val="both"/>
        <w:rPr>
          <w:color w:val="333333"/>
          <w:spacing w:val="8"/>
        </w:rPr>
      </w:pPr>
      <w:r w:rsidRPr="00B93A44">
        <w:rPr>
          <w:rStyle w:val="a4"/>
          <w:rFonts w:hint="eastAsia"/>
          <w:color w:val="333333"/>
          <w:spacing w:val="8"/>
        </w:rPr>
        <w:t>3.1.1　管道运营商</w:t>
      </w:r>
    </w:p>
    <w:p w14:paraId="7B27260B"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 xml:space="preserve">欧洲输气运营商协会（European Network </w:t>
      </w:r>
      <w:proofErr w:type="spellStart"/>
      <w:r w:rsidRPr="00B93A44">
        <w:rPr>
          <w:rFonts w:hint="eastAsia"/>
          <w:color w:val="333333"/>
          <w:spacing w:val="8"/>
        </w:rPr>
        <w:t>ofTransmission</w:t>
      </w:r>
      <w:proofErr w:type="spellEnd"/>
      <w:r w:rsidRPr="00B93A44">
        <w:rPr>
          <w:rFonts w:hint="eastAsia"/>
          <w:color w:val="333333"/>
          <w:spacing w:val="8"/>
        </w:rPr>
        <w:t xml:space="preserve"> System Operation for Gas，ENTSO-G）成立于2009 年12 月，是欧洲主要国家天然气管道运营商的合作组织，用于协调各管输运营商的行为。</w:t>
      </w:r>
    </w:p>
    <w:p w14:paraId="27EB78FF"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Style w:val="a4"/>
          <w:rFonts w:hint="eastAsia"/>
          <w:color w:val="333333"/>
          <w:spacing w:val="8"/>
        </w:rPr>
        <w:t>3.1.2　欧洲天然气管道信息平台</w:t>
      </w:r>
    </w:p>
    <w:p w14:paraId="0F8D9200"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 xml:space="preserve">欧洲天然气管输平台（Gas Transmission Europe，GTE）属于欧洲天然气基础设施信息平台（Gas </w:t>
      </w:r>
      <w:proofErr w:type="spellStart"/>
      <w:r w:rsidRPr="00B93A44">
        <w:rPr>
          <w:rFonts w:hint="eastAsia"/>
          <w:color w:val="333333"/>
          <w:spacing w:val="8"/>
        </w:rPr>
        <w:t>InfrastructureEurope</w:t>
      </w:r>
      <w:proofErr w:type="spellEnd"/>
      <w:r w:rsidRPr="00B93A44">
        <w:rPr>
          <w:rFonts w:hint="eastAsia"/>
          <w:color w:val="333333"/>
          <w:spacing w:val="8"/>
        </w:rPr>
        <w:t>，GIE）分支，集中了24个国家31个长输管道运营商（Transmission System Operators，TSO）。</w:t>
      </w:r>
    </w:p>
    <w:p w14:paraId="4526C8CA"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Style w:val="a4"/>
          <w:rFonts w:hint="eastAsia"/>
          <w:color w:val="333333"/>
          <w:spacing w:val="8"/>
        </w:rPr>
        <w:t>3.1.3　欧洲天然气储气库信息平台</w:t>
      </w:r>
    </w:p>
    <w:p w14:paraId="7BF1CF76"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GSE 属于欧洲天然气基础设施信息平台分支，集中了17个国家30个储气系统运营商（</w:t>
      </w:r>
      <w:proofErr w:type="spellStart"/>
      <w:r w:rsidRPr="00B93A44">
        <w:rPr>
          <w:rFonts w:hint="eastAsia"/>
          <w:color w:val="333333"/>
          <w:spacing w:val="8"/>
        </w:rPr>
        <w:t>StorageSystem</w:t>
      </w:r>
      <w:proofErr w:type="spellEnd"/>
      <w:r w:rsidRPr="00B93A44">
        <w:rPr>
          <w:rFonts w:hint="eastAsia"/>
          <w:color w:val="333333"/>
          <w:spacing w:val="8"/>
        </w:rPr>
        <w:t xml:space="preserve"> Operators，SSO），101个储气库，其总工作气量达到910×10</w:t>
      </w:r>
      <w:r w:rsidRPr="00B93A44">
        <w:rPr>
          <w:rFonts w:hint="eastAsia"/>
          <w:color w:val="333333"/>
          <w:spacing w:val="8"/>
          <w:vertAlign w:val="superscript"/>
        </w:rPr>
        <w:t>8</w:t>
      </w:r>
      <w:r w:rsidRPr="00B93A44">
        <w:rPr>
          <w:rFonts w:hint="eastAsia"/>
          <w:color w:val="333333"/>
          <w:spacing w:val="8"/>
        </w:rPr>
        <w:t>m</w:t>
      </w:r>
      <w:r w:rsidRPr="00B93A44">
        <w:rPr>
          <w:rFonts w:hint="eastAsia"/>
          <w:color w:val="333333"/>
          <w:spacing w:val="8"/>
          <w:vertAlign w:val="superscript"/>
        </w:rPr>
        <w:t>3</w:t>
      </w:r>
      <w:r w:rsidRPr="00B93A44">
        <w:rPr>
          <w:rFonts w:hint="eastAsia"/>
          <w:color w:val="333333"/>
          <w:spacing w:val="8"/>
        </w:rPr>
        <w:t>/d，占欧盟储气库总工作气量的84％。</w:t>
      </w:r>
    </w:p>
    <w:p w14:paraId="06B0D928"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Style w:val="a4"/>
          <w:rFonts w:hint="eastAsia"/>
          <w:color w:val="333333"/>
          <w:spacing w:val="8"/>
        </w:rPr>
        <w:t>3.1.4　管输容量平台</w:t>
      </w:r>
    </w:p>
    <w:p w14:paraId="49878D9A"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欧洲天然气容量基本通过多家管道公司联合组建的电子平台进行交易。目前主要建有PRISMA、TRAC-X、匈牙利-罗马尼亚容量交易平台、ICEENDEX交易中心等。2013 年成立的PRISMA 是欧洲大陆最主要的天然气管道交易平台，涉及德国、法国、比利时、意大利等16个国家的37个管道公司。PRISMA 共连接16个市场，总计1550个管网点，2016 年3 月17 日采用了重新设计的电子平台，欧盟各国多数采用“进出”管输费体系。</w:t>
      </w:r>
    </w:p>
    <w:p w14:paraId="70501E04"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Style w:val="a4"/>
          <w:rFonts w:hint="eastAsia"/>
          <w:color w:val="333333"/>
          <w:spacing w:val="8"/>
        </w:rPr>
        <w:t>3.1.5　储气容量平台</w:t>
      </w:r>
    </w:p>
    <w:p w14:paraId="4C9C6DD2"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容量市场分为一级市场和二级市场。一级市场由储气库运营商销售给用户，储气库容量配置采用用户优先权排序、拍卖等方式。在二级市场上，用</w:t>
      </w:r>
      <w:r w:rsidRPr="00B93A44">
        <w:rPr>
          <w:rFonts w:hint="eastAsia"/>
          <w:color w:val="333333"/>
          <w:spacing w:val="8"/>
        </w:rPr>
        <w:lastRenderedPageBreak/>
        <w:t>户可以转让持有的容量所有权或使用权。目前欧洲储气库运营商建立了各自的储气容量交易平台，ICE-ENDEX 交易中心也可以进行储气库容量的交易。</w:t>
      </w:r>
    </w:p>
    <w:p w14:paraId="282E008F"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近年来，中国也搭建了地下储气库信息数据管理平台，用于储气库数据采集、处理及管理。</w:t>
      </w:r>
    </w:p>
    <w:p w14:paraId="07D83DAD"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3.2　储存容量订购、申请及指派</w:t>
      </w:r>
    </w:p>
    <w:p w14:paraId="0DC2D384"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储气运营商发布可预订的储存容量，客户在储气容量交易平台注册，并得到客户公司确认，获得储气库运营商的许可，许可分为阅读许可和使用许可，阅读许可无容量指派权限，储气库客户与储气库运营商签订储气合同，正式获得操作权限。客户通过储气容量交易平台订购或申请容量（图11）：订购是指产品组合的选择，主要针对绑定容量，连续订购合同的每年储存容量相同，并对最长订购的年数有限制；申请是针对非绑定和可中断储存容量，运营商不预留该部分容量，其他用户可再次订购。相同储气库收到多个请求时，采取先到先得原则，并根据请求的储气时间长短排序（时间长优先），储气时间长短相同时储气开始早者优先。固定非绑定容量作为绑定储存容量的补充，而可中断储存容量又作为固定储存容量的补充。容量指派是储气客户依据储气合同，通过网络平台确定某日注采速率的行为，按步骤分为客户容量指派和储气库运营商确认两步，客户容量指派分为周容量指派和日容量指派，指派内容包括合同ID、接收或返回点（管输点）、日期和流向（注入或采出）等信息。注采操作前一定时间（如2h）可修改容量指派，容量指派将被自动发送至下游运营商操作系统。储气库运营商收到客户容量指派后进行周容量确认和日容量确认，并根据储气容量调整规定进行容量指派调整。</w:t>
      </w:r>
    </w:p>
    <w:p w14:paraId="540B01EF" w14:textId="0639353D" w:rsidR="00B93A44" w:rsidRPr="00B93A44" w:rsidRDefault="00B93A44">
      <w:pPr>
        <w:rPr>
          <w:rFonts w:ascii="宋体" w:eastAsia="宋体" w:hAnsi="宋体"/>
          <w:sz w:val="24"/>
          <w:szCs w:val="24"/>
        </w:rPr>
      </w:pPr>
    </w:p>
    <w:p w14:paraId="5BBC272C" w14:textId="54704BFA" w:rsidR="00B93A44" w:rsidRPr="00B93A44" w:rsidRDefault="00B93A44">
      <w:pPr>
        <w:rPr>
          <w:rFonts w:ascii="宋体" w:eastAsia="宋体" w:hAnsi="宋体"/>
          <w:sz w:val="24"/>
          <w:szCs w:val="24"/>
        </w:rPr>
      </w:pPr>
      <w:r w:rsidRPr="00B93A44">
        <w:rPr>
          <w:rFonts w:ascii="宋体" w:eastAsia="宋体" w:hAnsi="宋体"/>
          <w:noProof/>
          <w:sz w:val="24"/>
          <w:szCs w:val="24"/>
        </w:rPr>
        <w:lastRenderedPageBreak/>
        <w:drawing>
          <wp:inline distT="0" distB="0" distL="0" distR="0" wp14:anchorId="1833CFAA" wp14:editId="16B26242">
            <wp:extent cx="5105400" cy="39528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5400" cy="3952875"/>
                    </a:xfrm>
                    <a:prstGeom prst="rect">
                      <a:avLst/>
                    </a:prstGeom>
                  </pic:spPr>
                </pic:pic>
              </a:graphicData>
            </a:graphic>
          </wp:inline>
        </w:drawing>
      </w:r>
    </w:p>
    <w:p w14:paraId="2351F111" w14:textId="77777777" w:rsidR="00B93A44" w:rsidRPr="00B93A44" w:rsidRDefault="00B93A44" w:rsidP="00B93A44">
      <w:pPr>
        <w:pStyle w:val="a3"/>
        <w:shd w:val="clear" w:color="auto" w:fill="FFFFFF"/>
        <w:spacing w:before="0" w:beforeAutospacing="0" w:after="0" w:afterAutospacing="0" w:line="420" w:lineRule="atLeast"/>
        <w:jc w:val="both"/>
        <w:rPr>
          <w:color w:val="333333"/>
          <w:spacing w:val="8"/>
        </w:rPr>
      </w:pPr>
      <w:r w:rsidRPr="00B93A44">
        <w:rPr>
          <w:rStyle w:val="a4"/>
          <w:rFonts w:hint="eastAsia"/>
          <w:color w:val="333333"/>
          <w:spacing w:val="8"/>
        </w:rPr>
        <w:t>4　储气库容量操作规定</w:t>
      </w:r>
    </w:p>
    <w:p w14:paraId="1999CE87"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4.1　容量指派限制</w:t>
      </w:r>
    </w:p>
    <w:p w14:paraId="3C94D11B"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客户容量指派受到两方面限制：一是合同规定的可用注入速率、采出速率及工作气量；二是客户的注采曲线。</w:t>
      </w:r>
    </w:p>
    <w:p w14:paraId="3426DE43"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4.2　容量超限</w:t>
      </w:r>
    </w:p>
    <w:p w14:paraId="522987EE"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当注气速率、采气速率及工作气量超过合同规定的最大允许储存容量时，储气库运营商向客户收取额外的超限费用（每天），以当日最大值乘以支付系数。如客户工作气量不足时，以参考价格的1.1倍购买，客户未使用工作气量时，以参考价格的0.9 倍回购。</w:t>
      </w:r>
    </w:p>
    <w:p w14:paraId="1E509C44"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4.3　储存容量的使用</w:t>
      </w:r>
    </w:p>
    <w:p w14:paraId="15879846"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客户连续多月不使用或最低量使用签订的储气容量，运营商将要求客户出售储气容量给第三方，防止不合理的容量囤积。此外，客户必须在一段时间内完成容量出售，否则会强制退订该部分储气容量。</w:t>
      </w:r>
    </w:p>
    <w:p w14:paraId="0DE9786B"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4.4　中断和限制客户储存容量</w:t>
      </w:r>
    </w:p>
    <w:p w14:paraId="50BD632F"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冬季采气期和夏季储气期经常出现供需不平衡的情况，若注采速率满足容量指派中的最大值，或实际可用工作气量低于合同工作气量，储气库运营</w:t>
      </w:r>
      <w:r w:rsidRPr="00B93A44">
        <w:rPr>
          <w:rFonts w:hint="eastAsia"/>
          <w:color w:val="333333"/>
          <w:spacing w:val="8"/>
        </w:rPr>
        <w:lastRenderedPageBreak/>
        <w:t>商将中断或限制客户储气容量。中断和限制客户储气容量累计超过一定时间（如14 d/a），减免储存费用。</w:t>
      </w:r>
    </w:p>
    <w:p w14:paraId="0C92D267"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中断和限制步骤为两步，首先中断可中断容量，按合同时间顺序（客户收据），先中断排序最后的客户容量，直至满足当前可用储气容量要求。当多个合同时间相同时，按各客户可中断容量所占比例全部或部分中断，然后再中断固定容量，原则上按各客户固定容量所占比例全部或部分中断。</w:t>
      </w:r>
    </w:p>
    <w:p w14:paraId="779E621A"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4.5　注采再分配和容量退回</w:t>
      </w:r>
    </w:p>
    <w:p w14:paraId="1226717D"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注采再分配和容量退回主要遵循以下原则：①储气库运营商根据客户容量指派，使固定储存容量最大化，最小化可中断储存容量；②为了优化储气库利用，运营商可将客户容量指派再分配到其他储气库，实现储气库容量的再调配；③客户有权拒绝再分配，但仅在不满足管输条件或考虑能量控制而事先承诺存储在特定储气库的情况下可以行使此权利；④客户可根据各自情况随时退订储存容量；⑤运营商可以再次向第三方销售退订的储存容量；⑥运营商优先销售市场已有的可用储气容量，再销售退订的储存容量；⑦客户可在二级市场交易储存容量。</w:t>
      </w:r>
    </w:p>
    <w:p w14:paraId="67DC8D91"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Style w:val="a4"/>
          <w:rFonts w:hint="eastAsia"/>
          <w:color w:val="333333"/>
          <w:spacing w:val="8"/>
        </w:rPr>
        <w:t>4.6　采出工作气量限制</w:t>
      </w:r>
    </w:p>
    <w:p w14:paraId="132FE69E"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Style w:val="a4"/>
          <w:rFonts w:hint="eastAsia"/>
          <w:color w:val="333333"/>
          <w:spacing w:val="8"/>
        </w:rPr>
        <w:t>4.6.1　需求系数</w:t>
      </w:r>
    </w:p>
    <w:p w14:paraId="2FAF074D"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对于盐岩储气库，当客户工作气量在某值之上时，储气库运营商对客户每周或每月的最大采出气量进行限制。周最大工作气量乘以“需求系数”得到本周实际可采工作气量，需求系数定义为每周允许采出的气量与签订的固定采出容量得到的每周最大采出气量的比值（表4）。如果客户签订的最大固定采出速率为500 MWh/h，一周可能的采出气量为84 GWh，当需求系数为0.7 时，每周允许采出气量为58.8 GWh。</w:t>
      </w:r>
    </w:p>
    <w:p w14:paraId="731F9307" w14:textId="68B7EEE2" w:rsidR="00B93A44" w:rsidRPr="00B93A44" w:rsidRDefault="00B93A44">
      <w:pPr>
        <w:rPr>
          <w:rFonts w:ascii="宋体" w:eastAsia="宋体" w:hAnsi="宋体"/>
          <w:sz w:val="24"/>
          <w:szCs w:val="24"/>
        </w:rPr>
      </w:pPr>
    </w:p>
    <w:p w14:paraId="7354531A" w14:textId="6162E3A5" w:rsidR="00B93A44" w:rsidRPr="00B93A44" w:rsidRDefault="00B93A44">
      <w:pPr>
        <w:rPr>
          <w:rFonts w:ascii="宋体" w:eastAsia="宋体" w:hAnsi="宋体"/>
          <w:sz w:val="24"/>
          <w:szCs w:val="24"/>
        </w:rPr>
      </w:pPr>
      <w:r w:rsidRPr="00B93A44">
        <w:rPr>
          <w:rFonts w:ascii="宋体" w:eastAsia="宋体" w:hAnsi="宋体"/>
          <w:noProof/>
          <w:sz w:val="24"/>
          <w:szCs w:val="24"/>
        </w:rPr>
        <w:drawing>
          <wp:inline distT="0" distB="0" distL="0" distR="0" wp14:anchorId="20966101" wp14:editId="15470A4D">
            <wp:extent cx="5274310" cy="16186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618615"/>
                    </a:xfrm>
                    <a:prstGeom prst="rect">
                      <a:avLst/>
                    </a:prstGeom>
                  </pic:spPr>
                </pic:pic>
              </a:graphicData>
            </a:graphic>
          </wp:inline>
        </w:drawing>
      </w:r>
    </w:p>
    <w:p w14:paraId="65D3CE98" w14:textId="77777777" w:rsidR="00B93A44" w:rsidRPr="00B93A44" w:rsidRDefault="00B93A44" w:rsidP="00B93A44">
      <w:pPr>
        <w:pStyle w:val="a3"/>
        <w:shd w:val="clear" w:color="auto" w:fill="FFFFFF"/>
        <w:spacing w:before="0" w:beforeAutospacing="0" w:after="0" w:afterAutospacing="0" w:line="420" w:lineRule="atLeast"/>
        <w:ind w:firstLine="480"/>
        <w:jc w:val="both"/>
        <w:rPr>
          <w:color w:val="333333"/>
          <w:spacing w:val="8"/>
        </w:rPr>
      </w:pPr>
      <w:r w:rsidRPr="00B93A44">
        <w:rPr>
          <w:rStyle w:val="a4"/>
          <w:rFonts w:hint="eastAsia"/>
          <w:color w:val="333333"/>
          <w:spacing w:val="8"/>
        </w:rPr>
        <w:t>4.6.2　工作气量调整</w:t>
      </w:r>
    </w:p>
    <w:p w14:paraId="09A97C62"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lastRenderedPageBreak/>
        <w:t>盐岩储气库的最大工作气量会随时间变化，一般通过数学模型模拟和盐穴实际调研数据确定每年盐岩储气库的工作气量（图12）。如德国每年4 月1 日6:00 修改最大工作气量，减少的工作气量依次从可中断非绑定工作气量（按比例）、可中断绑定工作气量、固定非绑定工作气量及固定绑定工作气量中扣除。</w:t>
      </w:r>
    </w:p>
    <w:p w14:paraId="29C40935" w14:textId="461562F0" w:rsidR="00B93A44" w:rsidRPr="00B93A44" w:rsidRDefault="00B93A44">
      <w:pPr>
        <w:rPr>
          <w:rFonts w:ascii="宋体" w:eastAsia="宋体" w:hAnsi="宋体"/>
          <w:sz w:val="24"/>
          <w:szCs w:val="24"/>
        </w:rPr>
      </w:pPr>
    </w:p>
    <w:p w14:paraId="3D8178E4" w14:textId="480DC653" w:rsidR="00B93A44" w:rsidRPr="00B93A44" w:rsidRDefault="00B93A44">
      <w:pPr>
        <w:rPr>
          <w:rFonts w:ascii="宋体" w:eastAsia="宋体" w:hAnsi="宋体"/>
          <w:sz w:val="24"/>
          <w:szCs w:val="24"/>
        </w:rPr>
      </w:pPr>
      <w:r w:rsidRPr="00B93A44">
        <w:rPr>
          <w:rFonts w:ascii="宋体" w:eastAsia="宋体" w:hAnsi="宋体"/>
          <w:noProof/>
          <w:sz w:val="24"/>
          <w:szCs w:val="24"/>
        </w:rPr>
        <w:drawing>
          <wp:inline distT="0" distB="0" distL="0" distR="0" wp14:anchorId="654262EA" wp14:editId="62573EB6">
            <wp:extent cx="5274310" cy="446214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4462145"/>
                    </a:xfrm>
                    <a:prstGeom prst="rect">
                      <a:avLst/>
                    </a:prstGeom>
                  </pic:spPr>
                </pic:pic>
              </a:graphicData>
            </a:graphic>
          </wp:inline>
        </w:drawing>
      </w:r>
    </w:p>
    <w:p w14:paraId="05E476F2" w14:textId="77777777" w:rsidR="00B93A44" w:rsidRPr="00B93A44" w:rsidRDefault="00B93A44" w:rsidP="00B93A44">
      <w:pPr>
        <w:pStyle w:val="a3"/>
        <w:shd w:val="clear" w:color="auto" w:fill="FFFFFF"/>
        <w:spacing w:before="0" w:beforeAutospacing="0" w:after="0" w:afterAutospacing="0" w:line="420" w:lineRule="atLeast"/>
        <w:jc w:val="both"/>
        <w:rPr>
          <w:color w:val="333333"/>
          <w:spacing w:val="8"/>
        </w:rPr>
      </w:pPr>
      <w:r w:rsidRPr="00B93A44">
        <w:rPr>
          <w:rStyle w:val="a4"/>
          <w:rFonts w:hint="eastAsia"/>
          <w:color w:val="333333"/>
          <w:spacing w:val="8"/>
        </w:rPr>
        <w:t>5　结论</w:t>
      </w:r>
    </w:p>
    <w:p w14:paraId="28B3D9BD"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（1）欧盟储气库自2010 年进入快速发展阶段，6年间工作气量由82×10</w:t>
      </w:r>
      <w:r w:rsidRPr="00B93A44">
        <w:rPr>
          <w:rFonts w:hint="eastAsia"/>
          <w:color w:val="333333"/>
          <w:spacing w:val="8"/>
          <w:vertAlign w:val="superscript"/>
        </w:rPr>
        <w:t>8</w:t>
      </w:r>
      <w:r w:rsidRPr="00B93A44">
        <w:rPr>
          <w:rFonts w:hint="eastAsia"/>
          <w:color w:val="333333"/>
          <w:spacing w:val="8"/>
        </w:rPr>
        <w:t>m</w:t>
      </w:r>
      <w:r w:rsidRPr="00B93A44">
        <w:rPr>
          <w:rFonts w:hint="eastAsia"/>
          <w:color w:val="333333"/>
          <w:spacing w:val="8"/>
          <w:vertAlign w:val="superscript"/>
        </w:rPr>
        <w:t>3</w:t>
      </w:r>
      <w:r w:rsidRPr="00B93A44">
        <w:rPr>
          <w:rFonts w:hint="eastAsia"/>
          <w:color w:val="333333"/>
          <w:spacing w:val="8"/>
        </w:rPr>
        <w:t> 快速增至1075×10</w:t>
      </w:r>
      <w:r w:rsidRPr="00B93A44">
        <w:rPr>
          <w:rFonts w:hint="eastAsia"/>
          <w:color w:val="333333"/>
          <w:spacing w:val="8"/>
          <w:vertAlign w:val="superscript"/>
        </w:rPr>
        <w:t>8</w:t>
      </w:r>
      <w:r w:rsidRPr="00B93A44">
        <w:rPr>
          <w:rFonts w:hint="eastAsia"/>
          <w:color w:val="333333"/>
          <w:spacing w:val="8"/>
        </w:rPr>
        <w:t>m</w:t>
      </w:r>
      <w:r w:rsidRPr="00B93A44">
        <w:rPr>
          <w:rFonts w:hint="eastAsia"/>
          <w:color w:val="333333"/>
          <w:spacing w:val="8"/>
          <w:vertAlign w:val="superscript"/>
        </w:rPr>
        <w:t>3</w:t>
      </w:r>
      <w:r w:rsidRPr="00B93A44">
        <w:rPr>
          <w:rFonts w:hint="eastAsia"/>
          <w:color w:val="333333"/>
          <w:spacing w:val="8"/>
        </w:rPr>
        <w:t>，增长13倍。欧洲储气库注气能力由1×10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/d 增至11.79×10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/d，采气能力由2×10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/d 增至19.6×10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/d，增长约10倍。于2016 年中国国际管道大会上获悉，中国已建成42×10</w:t>
      </w:r>
      <w:r w:rsidRPr="00B93A44">
        <w:rPr>
          <w:rFonts w:hint="eastAsia"/>
          <w:color w:val="333333"/>
          <w:spacing w:val="8"/>
          <w:vertAlign w:val="superscript"/>
        </w:rPr>
        <w:t>8</w:t>
      </w:r>
      <w:r w:rsidRPr="00B93A44">
        <w:rPr>
          <w:rFonts w:hint="eastAsia"/>
          <w:color w:val="333333"/>
          <w:spacing w:val="8"/>
        </w:rPr>
        <w:t> m</w:t>
      </w:r>
      <w:r w:rsidRPr="00B93A44">
        <w:rPr>
          <w:rFonts w:hint="eastAsia"/>
          <w:color w:val="333333"/>
          <w:spacing w:val="8"/>
          <w:vertAlign w:val="superscript"/>
        </w:rPr>
        <w:t>3</w:t>
      </w:r>
      <w:r w:rsidRPr="00B93A44">
        <w:rPr>
          <w:rFonts w:hint="eastAsia"/>
          <w:color w:val="333333"/>
          <w:spacing w:val="8"/>
        </w:rPr>
        <w:t> 工作气量，仍处于起步阶段，随着储气库调峰需求和建设规模的增大，即将步入快速增长阶段，急需构建储气库运营管理模式。</w:t>
      </w:r>
    </w:p>
    <w:p w14:paraId="16B4E780"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（2）欧洲储气库运营商根据储气库技术特征和市场需求，提供多种储气容量产品和从快速波动储存至季节性储存的大范围储气服务，优化客户储气容量组合，达到灵活、充分利用储气容量的目的。</w:t>
      </w:r>
    </w:p>
    <w:p w14:paraId="3521EA0D"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lastRenderedPageBreak/>
        <w:t>（3）欧洲能源改革促使天然气设施、市场的多个环节分离，储气库运营体系中涉及管道运营商、储气库运营商及储气库客户等多方参与者，参与者根据需求订购、申请及指派容量，回购、退订及二级市场机制有利于客户间储气容量的平衡。</w:t>
      </w:r>
    </w:p>
    <w:p w14:paraId="711CB250"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（4）欧洲储气库运营商从指派限制、使用容量、容量超限、中断和限制客户容量、注采再分配等方面制定了详细规定。中国储气库运营商可借鉴欧洲运营模式，制定全国统一的标准化操作运行流程和运营模式。</w:t>
      </w:r>
    </w:p>
    <w:p w14:paraId="74F18CBD" w14:textId="77777777" w:rsidR="00B93A44" w:rsidRPr="00B93A44" w:rsidRDefault="00B93A44" w:rsidP="00B93A44">
      <w:pPr>
        <w:pStyle w:val="a3"/>
        <w:shd w:val="clear" w:color="auto" w:fill="FFFFFF"/>
        <w:spacing w:before="0" w:beforeAutospacing="0" w:after="0" w:afterAutospacing="0" w:line="420" w:lineRule="atLeast"/>
        <w:ind w:firstLine="480"/>
        <w:jc w:val="both"/>
        <w:rPr>
          <w:rFonts w:hint="eastAsia"/>
          <w:color w:val="333333"/>
          <w:spacing w:val="8"/>
        </w:rPr>
      </w:pPr>
      <w:r w:rsidRPr="00B93A44">
        <w:rPr>
          <w:rFonts w:hint="eastAsia"/>
          <w:color w:val="333333"/>
          <w:spacing w:val="8"/>
        </w:rPr>
        <w:t>（5）目前欧洲各储气库营运商虽建立了各自的储气容量平台，但仍未统一。随着中国储气库规模的增大，有必要建立单条管道多储气库联运平台，逐步形成多管道多储气库的全国性运行平台，联调联运，优化管网系统运行，实现管道储气库的大系统优化调峰。（</w:t>
      </w:r>
      <w:r w:rsidRPr="00B93A44">
        <w:rPr>
          <w:rStyle w:val="a4"/>
          <w:rFonts w:hint="eastAsia"/>
          <w:color w:val="333333"/>
          <w:spacing w:val="8"/>
        </w:rPr>
        <w:t>来源：《油气储运》，2017年07期 36</w:t>
      </w:r>
      <w:r w:rsidRPr="00B93A44">
        <w:rPr>
          <w:rFonts w:hint="eastAsia"/>
          <w:color w:val="333333"/>
          <w:spacing w:val="8"/>
        </w:rPr>
        <w:t>）</w:t>
      </w:r>
    </w:p>
    <w:p w14:paraId="71B11B3B" w14:textId="77777777" w:rsidR="00B93A44" w:rsidRPr="00B93A44" w:rsidRDefault="00B93A44" w:rsidP="00B93A44">
      <w:pPr>
        <w:pStyle w:val="a3"/>
        <w:shd w:val="clear" w:color="auto" w:fill="FFFFFF"/>
        <w:spacing w:before="0" w:beforeAutospacing="0" w:after="0" w:afterAutospacing="0" w:line="420" w:lineRule="atLeast"/>
        <w:jc w:val="both"/>
        <w:rPr>
          <w:rFonts w:hint="eastAsia"/>
          <w:color w:val="333333"/>
          <w:spacing w:val="8"/>
        </w:rPr>
      </w:pPr>
      <w:r w:rsidRPr="00B93A44">
        <w:rPr>
          <w:rFonts w:hint="eastAsia"/>
          <w:color w:val="333333"/>
          <w:spacing w:val="8"/>
        </w:rPr>
        <w:t> </w:t>
      </w:r>
    </w:p>
    <w:p w14:paraId="537E41CE" w14:textId="77777777" w:rsidR="00B93A44" w:rsidRPr="00B93A44" w:rsidRDefault="00B93A44">
      <w:pPr>
        <w:rPr>
          <w:rFonts w:ascii="宋体" w:eastAsia="宋体" w:hAnsi="宋体" w:hint="eastAsia"/>
          <w:sz w:val="24"/>
          <w:szCs w:val="24"/>
        </w:rPr>
      </w:pPr>
    </w:p>
    <w:sectPr w:rsidR="00B93A44" w:rsidRPr="00B93A4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34F"/>
    <w:rsid w:val="000940E8"/>
    <w:rsid w:val="0075334F"/>
    <w:rsid w:val="00B93A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59338"/>
  <w15:chartTrackingRefBased/>
  <w15:docId w15:val="{EE4C5780-269D-4E3F-A3B3-3523DE74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B93A4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93A44"/>
    <w:rPr>
      <w:rFonts w:ascii="宋体" w:eastAsia="宋体" w:hAnsi="宋体" w:cs="宋体"/>
      <w:b/>
      <w:bCs/>
      <w:kern w:val="0"/>
      <w:sz w:val="36"/>
      <w:szCs w:val="36"/>
    </w:rPr>
  </w:style>
  <w:style w:type="paragraph" w:styleId="a3">
    <w:name w:val="Normal (Web)"/>
    <w:basedOn w:val="a"/>
    <w:uiPriority w:val="99"/>
    <w:semiHidden/>
    <w:unhideWhenUsed/>
    <w:rsid w:val="00B93A44"/>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93A44"/>
    <w:rPr>
      <w:b/>
      <w:bCs/>
    </w:rPr>
  </w:style>
  <w:style w:type="character" w:styleId="a5">
    <w:name w:val="Emphasis"/>
    <w:basedOn w:val="a0"/>
    <w:uiPriority w:val="20"/>
    <w:qFormat/>
    <w:rsid w:val="00B93A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86531">
      <w:bodyDiv w:val="1"/>
      <w:marLeft w:val="0"/>
      <w:marRight w:val="0"/>
      <w:marTop w:val="0"/>
      <w:marBottom w:val="0"/>
      <w:divBdr>
        <w:top w:val="none" w:sz="0" w:space="0" w:color="auto"/>
        <w:left w:val="none" w:sz="0" w:space="0" w:color="auto"/>
        <w:bottom w:val="none" w:sz="0" w:space="0" w:color="auto"/>
        <w:right w:val="none" w:sz="0" w:space="0" w:color="auto"/>
      </w:divBdr>
    </w:div>
    <w:div w:id="481123187">
      <w:bodyDiv w:val="1"/>
      <w:marLeft w:val="0"/>
      <w:marRight w:val="0"/>
      <w:marTop w:val="0"/>
      <w:marBottom w:val="0"/>
      <w:divBdr>
        <w:top w:val="none" w:sz="0" w:space="0" w:color="auto"/>
        <w:left w:val="none" w:sz="0" w:space="0" w:color="auto"/>
        <w:bottom w:val="none" w:sz="0" w:space="0" w:color="auto"/>
        <w:right w:val="none" w:sz="0" w:space="0" w:color="auto"/>
      </w:divBdr>
    </w:div>
    <w:div w:id="496961524">
      <w:bodyDiv w:val="1"/>
      <w:marLeft w:val="0"/>
      <w:marRight w:val="0"/>
      <w:marTop w:val="0"/>
      <w:marBottom w:val="0"/>
      <w:divBdr>
        <w:top w:val="none" w:sz="0" w:space="0" w:color="auto"/>
        <w:left w:val="none" w:sz="0" w:space="0" w:color="auto"/>
        <w:bottom w:val="none" w:sz="0" w:space="0" w:color="auto"/>
        <w:right w:val="none" w:sz="0" w:space="0" w:color="auto"/>
      </w:divBdr>
    </w:div>
    <w:div w:id="535627323">
      <w:bodyDiv w:val="1"/>
      <w:marLeft w:val="0"/>
      <w:marRight w:val="0"/>
      <w:marTop w:val="0"/>
      <w:marBottom w:val="0"/>
      <w:divBdr>
        <w:top w:val="none" w:sz="0" w:space="0" w:color="auto"/>
        <w:left w:val="none" w:sz="0" w:space="0" w:color="auto"/>
        <w:bottom w:val="none" w:sz="0" w:space="0" w:color="auto"/>
        <w:right w:val="none" w:sz="0" w:space="0" w:color="auto"/>
      </w:divBdr>
    </w:div>
    <w:div w:id="825587691">
      <w:bodyDiv w:val="1"/>
      <w:marLeft w:val="0"/>
      <w:marRight w:val="0"/>
      <w:marTop w:val="0"/>
      <w:marBottom w:val="0"/>
      <w:divBdr>
        <w:top w:val="none" w:sz="0" w:space="0" w:color="auto"/>
        <w:left w:val="none" w:sz="0" w:space="0" w:color="auto"/>
        <w:bottom w:val="none" w:sz="0" w:space="0" w:color="auto"/>
        <w:right w:val="none" w:sz="0" w:space="0" w:color="auto"/>
      </w:divBdr>
    </w:div>
    <w:div w:id="885145758">
      <w:bodyDiv w:val="1"/>
      <w:marLeft w:val="0"/>
      <w:marRight w:val="0"/>
      <w:marTop w:val="0"/>
      <w:marBottom w:val="0"/>
      <w:divBdr>
        <w:top w:val="none" w:sz="0" w:space="0" w:color="auto"/>
        <w:left w:val="none" w:sz="0" w:space="0" w:color="auto"/>
        <w:bottom w:val="none" w:sz="0" w:space="0" w:color="auto"/>
        <w:right w:val="none" w:sz="0" w:space="0" w:color="auto"/>
      </w:divBdr>
    </w:div>
    <w:div w:id="1186404344">
      <w:bodyDiv w:val="1"/>
      <w:marLeft w:val="0"/>
      <w:marRight w:val="0"/>
      <w:marTop w:val="0"/>
      <w:marBottom w:val="0"/>
      <w:divBdr>
        <w:top w:val="none" w:sz="0" w:space="0" w:color="auto"/>
        <w:left w:val="none" w:sz="0" w:space="0" w:color="auto"/>
        <w:bottom w:val="none" w:sz="0" w:space="0" w:color="auto"/>
        <w:right w:val="none" w:sz="0" w:space="0" w:color="auto"/>
      </w:divBdr>
    </w:div>
    <w:div w:id="1202086123">
      <w:bodyDiv w:val="1"/>
      <w:marLeft w:val="0"/>
      <w:marRight w:val="0"/>
      <w:marTop w:val="0"/>
      <w:marBottom w:val="0"/>
      <w:divBdr>
        <w:top w:val="none" w:sz="0" w:space="0" w:color="auto"/>
        <w:left w:val="none" w:sz="0" w:space="0" w:color="auto"/>
        <w:bottom w:val="none" w:sz="0" w:space="0" w:color="auto"/>
        <w:right w:val="none" w:sz="0" w:space="0" w:color="auto"/>
      </w:divBdr>
    </w:div>
    <w:div w:id="1360662038">
      <w:bodyDiv w:val="1"/>
      <w:marLeft w:val="0"/>
      <w:marRight w:val="0"/>
      <w:marTop w:val="0"/>
      <w:marBottom w:val="0"/>
      <w:divBdr>
        <w:top w:val="none" w:sz="0" w:space="0" w:color="auto"/>
        <w:left w:val="none" w:sz="0" w:space="0" w:color="auto"/>
        <w:bottom w:val="none" w:sz="0" w:space="0" w:color="auto"/>
        <w:right w:val="none" w:sz="0" w:space="0" w:color="auto"/>
      </w:divBdr>
    </w:div>
    <w:div w:id="1530412184">
      <w:bodyDiv w:val="1"/>
      <w:marLeft w:val="0"/>
      <w:marRight w:val="0"/>
      <w:marTop w:val="0"/>
      <w:marBottom w:val="0"/>
      <w:divBdr>
        <w:top w:val="none" w:sz="0" w:space="0" w:color="auto"/>
        <w:left w:val="none" w:sz="0" w:space="0" w:color="auto"/>
        <w:bottom w:val="none" w:sz="0" w:space="0" w:color="auto"/>
        <w:right w:val="none" w:sz="0" w:space="0" w:color="auto"/>
      </w:divBdr>
    </w:div>
    <w:div w:id="1777142288">
      <w:bodyDiv w:val="1"/>
      <w:marLeft w:val="0"/>
      <w:marRight w:val="0"/>
      <w:marTop w:val="0"/>
      <w:marBottom w:val="0"/>
      <w:divBdr>
        <w:top w:val="none" w:sz="0" w:space="0" w:color="auto"/>
        <w:left w:val="none" w:sz="0" w:space="0" w:color="auto"/>
        <w:bottom w:val="none" w:sz="0" w:space="0" w:color="auto"/>
        <w:right w:val="none" w:sz="0" w:space="0" w:color="auto"/>
      </w:divBdr>
    </w:div>
    <w:div w:id="210391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1233</Words>
  <Characters>7030</Characters>
  <Application>Microsoft Office Word</Application>
  <DocSecurity>0</DocSecurity>
  <Lines>58</Lines>
  <Paragraphs>16</Paragraphs>
  <ScaleCrop>false</ScaleCrop>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2020-03-30T06:59:00Z</dcterms:created>
  <dcterms:modified xsi:type="dcterms:W3CDTF">2020-03-30T07:05:00Z</dcterms:modified>
</cp:coreProperties>
</file>